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wordWrap/>
        <w:topLinePunct w:val="0"/>
        <w:autoSpaceDE/>
        <w:autoSpaceDN/>
        <w:bidi w:val="0"/>
        <w:jc w:val="left"/>
        <w:textAlignment w:val="center"/>
        <w:outlineLvl w:val="9"/>
        <w:rPr>
          <w:rStyle w:val="5"/>
          <w:rFonts w:hint="default"/>
          <w:b w:val="0"/>
          <w:bCs w:val="0"/>
          <w:color w:val="auto"/>
          <w:sz w:val="30"/>
          <w:szCs w:val="30"/>
          <w:lang w:val="en-US" w:eastAsia="zh-CN" w:bidi="ar"/>
        </w:rPr>
      </w:pPr>
      <w:r>
        <w:rPr>
          <w:rStyle w:val="5"/>
          <w:rFonts w:hint="eastAsia"/>
          <w:b w:val="0"/>
          <w:bCs w:val="0"/>
          <w:color w:val="auto"/>
          <w:sz w:val="30"/>
          <w:szCs w:val="30"/>
          <w:lang w:val="en-US" w:eastAsia="zh-CN" w:bidi="ar"/>
        </w:rPr>
        <w:t>附件5：</w:t>
      </w:r>
    </w:p>
    <w:tbl>
      <w:tblPr>
        <w:tblStyle w:val="3"/>
        <w:tblW w:w="144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8"/>
        <w:gridCol w:w="766"/>
        <w:gridCol w:w="1320"/>
        <w:gridCol w:w="10634"/>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3" w:hRule="atLeast"/>
        </w:trPr>
        <w:tc>
          <w:tcPr>
            <w:tcW w:w="14478" w:type="dxa"/>
            <w:gridSpan w:val="5"/>
            <w:tcBorders>
              <w:top w:val="nil"/>
              <w:left w:val="nil"/>
              <w:bottom w:val="nil"/>
              <w:right w:val="nil"/>
            </w:tcBorders>
            <w:noWrap/>
            <w:vAlign w:val="center"/>
          </w:tcPr>
          <w:p>
            <w:pPr>
              <w:keepNext w:val="0"/>
              <w:keepLines w:val="0"/>
              <w:pageBreakBefore w:val="0"/>
              <w:widowControl/>
              <w:suppressLineNumbers w:val="0"/>
              <w:wordWrap/>
              <w:topLinePunct w:val="0"/>
              <w:autoSpaceDE/>
              <w:autoSpaceDN/>
              <w:bidi w:val="0"/>
              <w:jc w:val="center"/>
              <w:textAlignment w:val="center"/>
              <w:outlineLvl w:val="9"/>
              <w:rPr>
                <w:rFonts w:ascii="仿宋" w:hAnsi="仿宋" w:eastAsia="仿宋" w:cs="仿宋"/>
                <w:b/>
                <w:bCs/>
                <w:i w:val="0"/>
                <w:iCs w:val="0"/>
                <w:color w:val="auto"/>
                <w:sz w:val="28"/>
                <w:szCs w:val="28"/>
                <w:u w:val="none"/>
              </w:rPr>
            </w:pPr>
            <w:r>
              <w:rPr>
                <w:rStyle w:val="5"/>
                <w:color w:val="auto"/>
                <w:sz w:val="30"/>
                <w:szCs w:val="30"/>
                <w:lang w:val="en-US" w:eastAsia="zh-CN" w:bidi="ar"/>
              </w:rPr>
              <w:t>202</w:t>
            </w:r>
            <w:r>
              <w:rPr>
                <w:rStyle w:val="5"/>
                <w:rFonts w:hint="eastAsia"/>
                <w:color w:val="auto"/>
                <w:sz w:val="30"/>
                <w:szCs w:val="30"/>
                <w:lang w:val="en-US" w:eastAsia="zh-CN" w:bidi="ar"/>
              </w:rPr>
              <w:t>2</w:t>
            </w:r>
            <w:r>
              <w:rPr>
                <w:rStyle w:val="5"/>
                <w:color w:val="auto"/>
                <w:sz w:val="30"/>
                <w:szCs w:val="30"/>
                <w:lang w:val="en-US" w:eastAsia="zh-CN" w:bidi="ar"/>
              </w:rPr>
              <w:t>年度</w:t>
            </w:r>
            <w:r>
              <w:rPr>
                <w:rStyle w:val="5"/>
                <w:rFonts w:hint="eastAsia"/>
                <w:color w:val="auto"/>
                <w:sz w:val="30"/>
                <w:szCs w:val="30"/>
                <w:lang w:val="en-US" w:eastAsia="zh-CN" w:bidi="ar"/>
              </w:rPr>
              <w:t>池州市</w:t>
            </w:r>
            <w:r>
              <w:rPr>
                <w:rStyle w:val="5"/>
                <w:color w:val="auto"/>
                <w:sz w:val="30"/>
                <w:szCs w:val="30"/>
                <w:lang w:val="en-US" w:eastAsia="zh-CN" w:bidi="ar"/>
              </w:rPr>
              <w:t>全过程工程咨询</w:t>
            </w:r>
            <w:r>
              <w:rPr>
                <w:rStyle w:val="6"/>
                <w:color w:val="auto"/>
                <w:sz w:val="30"/>
                <w:szCs w:val="30"/>
                <w:lang w:val="en-US" w:eastAsia="zh-CN" w:bidi="ar"/>
              </w:rPr>
              <w:t>优秀</w:t>
            </w:r>
            <w:r>
              <w:rPr>
                <w:rStyle w:val="5"/>
                <w:color w:val="auto"/>
                <w:sz w:val="30"/>
                <w:szCs w:val="30"/>
                <w:lang w:val="en-US" w:eastAsia="zh-CN" w:bidi="ar"/>
              </w:rPr>
              <w:t>企业</w:t>
            </w:r>
            <w:r>
              <w:rPr>
                <w:rStyle w:val="6"/>
                <w:rFonts w:hint="eastAsia"/>
                <w:color w:val="auto"/>
                <w:sz w:val="30"/>
                <w:szCs w:val="30"/>
                <w:lang w:val="en-US" w:eastAsia="zh-CN" w:bidi="ar"/>
              </w:rPr>
              <w:t>评分</w:t>
            </w:r>
            <w:r>
              <w:rPr>
                <w:rStyle w:val="5"/>
                <w:color w:val="auto"/>
                <w:sz w:val="30"/>
                <w:szCs w:val="30"/>
                <w:lang w:val="en-US" w:eastAsia="zh-CN" w:bidi="ar"/>
              </w:rPr>
              <w:t>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3"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序号</w:t>
            </w:r>
          </w:p>
        </w:tc>
        <w:tc>
          <w:tcPr>
            <w:tcW w:w="766" w:type="dxa"/>
            <w:tcBorders>
              <w:top w:val="single" w:color="000000" w:sz="4" w:space="0"/>
              <w:left w:val="single" w:color="000000" w:sz="4" w:space="0"/>
              <w:bottom w:val="single" w:color="000000" w:sz="4" w:space="0"/>
              <w:right w:val="single" w:color="000000" w:sz="4" w:space="0"/>
            </w:tcBorders>
            <w:shd w:val="clear" w:color="auto" w:fill="FF0000"/>
            <w:noWrap w:val="0"/>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大类</w:t>
            </w:r>
          </w:p>
        </w:tc>
        <w:tc>
          <w:tcPr>
            <w:tcW w:w="1320" w:type="dxa"/>
            <w:tcBorders>
              <w:top w:val="single" w:color="000000" w:sz="4" w:space="0"/>
              <w:left w:val="single" w:color="000000" w:sz="4" w:space="0"/>
              <w:bottom w:val="single" w:color="000000" w:sz="4" w:space="0"/>
              <w:right w:val="single" w:color="000000" w:sz="4" w:space="0"/>
            </w:tcBorders>
            <w:shd w:val="clear" w:color="auto" w:fill="FF0000"/>
            <w:noWrap w:val="0"/>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要项</w:t>
            </w:r>
          </w:p>
        </w:tc>
        <w:tc>
          <w:tcPr>
            <w:tcW w:w="10634" w:type="dxa"/>
            <w:tcBorders>
              <w:top w:val="single" w:color="000000" w:sz="4" w:space="0"/>
              <w:left w:val="single" w:color="000000" w:sz="4" w:space="0"/>
              <w:bottom w:val="single" w:color="000000" w:sz="4" w:space="0"/>
              <w:right w:val="single" w:color="000000" w:sz="4" w:space="0"/>
            </w:tcBorders>
            <w:shd w:val="clear" w:color="auto" w:fill="FF0000"/>
            <w:noWrap w:val="0"/>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评分细则</w:t>
            </w:r>
          </w:p>
        </w:tc>
        <w:tc>
          <w:tcPr>
            <w:tcW w:w="1100" w:type="dxa"/>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分值设置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658" w:type="dxa"/>
            <w:vMerge w:val="restart"/>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766" w:type="dxa"/>
            <w:vMerge w:val="restar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企业实力</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企业资质</w:t>
            </w:r>
          </w:p>
        </w:tc>
        <w:tc>
          <w:tcPr>
            <w:tcW w:w="10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topLinePunct w:val="0"/>
              <w:autoSpaceDE/>
              <w:autoSpaceDN/>
              <w:bidi w:val="0"/>
              <w:jc w:val="left"/>
              <w:textAlignment w:val="center"/>
              <w:outlineLvl w:val="9"/>
              <w:rPr>
                <w:rStyle w:val="7"/>
                <w:color w:val="auto"/>
                <w:lang w:val="en-US" w:eastAsia="zh-CN" w:bidi="ar"/>
              </w:rPr>
            </w:pPr>
            <w:r>
              <w:rPr>
                <w:rStyle w:val="7"/>
                <w:color w:val="auto"/>
                <w:lang w:val="en-US" w:eastAsia="zh-CN" w:bidi="ar"/>
              </w:rPr>
              <w:t>1.分类：工程咨询</w:t>
            </w:r>
            <w:r>
              <w:rPr>
                <w:rStyle w:val="8"/>
                <w:color w:val="auto"/>
                <w:lang w:val="en-US" w:eastAsia="zh-CN" w:bidi="ar"/>
              </w:rPr>
              <w:t>（投资）</w:t>
            </w:r>
            <w:r>
              <w:rPr>
                <w:rStyle w:val="7"/>
                <w:color w:val="auto"/>
                <w:lang w:val="en-US" w:eastAsia="zh-CN" w:bidi="ar"/>
              </w:rPr>
              <w:t>、勘察设计、造价咨询、工程监理、招标代理；</w:t>
            </w:r>
          </w:p>
          <w:p>
            <w:pPr>
              <w:keepNext w:val="0"/>
              <w:keepLines w:val="0"/>
              <w:pageBreakBefore w:val="0"/>
              <w:widowControl/>
              <w:suppressLineNumbers w:val="0"/>
              <w:wordWrap/>
              <w:topLinePunct w:val="0"/>
              <w:autoSpaceDE/>
              <w:autoSpaceDN/>
              <w:bidi w:val="0"/>
              <w:jc w:val="left"/>
              <w:textAlignment w:val="center"/>
              <w:outlineLvl w:val="9"/>
              <w:rPr>
                <w:rStyle w:val="7"/>
                <w:color w:val="auto"/>
                <w:lang w:val="en-US" w:eastAsia="zh-CN" w:bidi="ar"/>
              </w:rPr>
            </w:pPr>
            <w:r>
              <w:rPr>
                <w:rStyle w:val="7"/>
                <w:color w:val="auto"/>
                <w:lang w:val="en-US" w:eastAsia="zh-CN" w:bidi="ar"/>
              </w:rPr>
              <w:t>2.评分细则：有一项以上类别甲级资质资信的得基本分1</w:t>
            </w:r>
            <w:r>
              <w:rPr>
                <w:rStyle w:val="7"/>
                <w:rFonts w:hint="eastAsia"/>
                <w:color w:val="auto"/>
                <w:lang w:val="en-US" w:eastAsia="zh-CN" w:bidi="ar"/>
              </w:rPr>
              <w:t>2</w:t>
            </w:r>
            <w:r>
              <w:rPr>
                <w:rStyle w:val="7"/>
                <w:color w:val="auto"/>
                <w:lang w:val="en-US" w:eastAsia="zh-CN" w:bidi="ar"/>
              </w:rPr>
              <w:t>分，乙级资质资信的得基本分1</w:t>
            </w:r>
            <w:r>
              <w:rPr>
                <w:rStyle w:val="7"/>
                <w:rFonts w:hint="eastAsia"/>
                <w:color w:val="auto"/>
                <w:lang w:val="en-US" w:eastAsia="zh-CN" w:bidi="ar"/>
              </w:rPr>
              <w:t>0</w:t>
            </w:r>
            <w:r>
              <w:rPr>
                <w:rStyle w:val="7"/>
                <w:color w:val="auto"/>
                <w:lang w:val="en-US" w:eastAsia="zh-CN" w:bidi="ar"/>
              </w:rPr>
              <w:t xml:space="preserve">分；                                  </w:t>
            </w:r>
          </w:p>
          <w:p>
            <w:pPr>
              <w:keepNext w:val="0"/>
              <w:keepLines w:val="0"/>
              <w:pageBreakBefore w:val="0"/>
              <w:widowControl/>
              <w:suppressLineNumbers w:val="0"/>
              <w:wordWrap/>
              <w:topLinePunct w:val="0"/>
              <w:autoSpaceDE/>
              <w:autoSpaceDN/>
              <w:bidi w:val="0"/>
              <w:jc w:val="left"/>
              <w:textAlignment w:val="center"/>
              <w:outlineLvl w:val="9"/>
              <w:rPr>
                <w:rFonts w:hint="eastAsia" w:ascii="仿宋" w:hAnsi="仿宋" w:eastAsia="仿宋" w:cs="仿宋"/>
                <w:i w:val="0"/>
                <w:iCs w:val="0"/>
                <w:color w:val="auto"/>
                <w:sz w:val="22"/>
                <w:szCs w:val="22"/>
                <w:u w:val="none"/>
              </w:rPr>
            </w:pPr>
            <w:r>
              <w:rPr>
                <w:rStyle w:val="7"/>
                <w:color w:val="auto"/>
                <w:lang w:val="en-US" w:eastAsia="zh-CN" w:bidi="ar"/>
              </w:rPr>
              <w:t>3.除基本得分的资质外有以上其他类资质的每增加一项甲级得2分，乙级及以下得1分，没有不得分。</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autoSpaceDE/>
              <w:autoSpaceDN/>
              <w:bidi w:val="0"/>
              <w:jc w:val="center"/>
              <w:textAlignment w:val="center"/>
              <w:outlineLvl w:val="9"/>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2" w:hRule="atLeast"/>
        </w:trPr>
        <w:tc>
          <w:tcPr>
            <w:tcW w:w="658" w:type="dxa"/>
            <w:vMerge w:val="continue"/>
            <w:tcBorders>
              <w:top w:val="single" w:color="000000" w:sz="4" w:space="0"/>
              <w:left w:val="single" w:color="000000" w:sz="4" w:space="0"/>
              <w:bottom w:val="nil"/>
              <w:right w:val="single" w:color="000000" w:sz="4" w:space="0"/>
            </w:tcBorders>
            <w:noWrap/>
            <w:vAlign w:val="center"/>
          </w:tcPr>
          <w:p>
            <w:pPr>
              <w:keepNext w:val="0"/>
              <w:keepLines w:val="0"/>
              <w:pageBreakBefore w:val="0"/>
              <w:wordWrap/>
              <w:topLinePunct w:val="0"/>
              <w:autoSpaceDE/>
              <w:autoSpaceDN/>
              <w:bidi w:val="0"/>
              <w:jc w:val="center"/>
              <w:outlineLvl w:val="9"/>
              <w:rPr>
                <w:rFonts w:hint="eastAsia" w:ascii="仿宋" w:hAnsi="仿宋" w:eastAsia="仿宋" w:cs="仿宋"/>
                <w:i w:val="0"/>
                <w:iCs w:val="0"/>
                <w:color w:val="auto"/>
                <w:sz w:val="22"/>
                <w:szCs w:val="22"/>
                <w:u w:val="none"/>
              </w:rPr>
            </w:pPr>
          </w:p>
        </w:tc>
        <w:tc>
          <w:tcPr>
            <w:tcW w:w="766"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wordWrap/>
              <w:topLinePunct w:val="0"/>
              <w:autoSpaceDE/>
              <w:autoSpaceDN/>
              <w:bidi w:val="0"/>
              <w:jc w:val="center"/>
              <w:outlineLvl w:val="9"/>
              <w:rPr>
                <w:rFonts w:hint="eastAsia" w:ascii="仿宋" w:hAnsi="仿宋" w:eastAsia="仿宋" w:cs="仿宋"/>
                <w:i w:val="0"/>
                <w:iCs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企业规模</w:t>
            </w:r>
          </w:p>
        </w:tc>
        <w:tc>
          <w:tcPr>
            <w:tcW w:w="10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topLinePunct w:val="0"/>
              <w:autoSpaceDE/>
              <w:autoSpaceDN/>
              <w:bidi w:val="0"/>
              <w:jc w:val="left"/>
              <w:textAlignment w:val="center"/>
              <w:outlineLvl w:val="9"/>
              <w:rPr>
                <w:rStyle w:val="7"/>
                <w:color w:val="auto"/>
                <w:lang w:val="en-US" w:eastAsia="zh-CN" w:bidi="ar"/>
              </w:rPr>
            </w:pPr>
            <w:r>
              <w:rPr>
                <w:rStyle w:val="7"/>
                <w:color w:val="auto"/>
                <w:lang w:val="en-US" w:eastAsia="zh-CN" w:bidi="ar"/>
              </w:rPr>
              <w:t>服务类年产值</w:t>
            </w:r>
            <w:r>
              <w:rPr>
                <w:rStyle w:val="7"/>
                <w:rFonts w:hint="eastAsia"/>
                <w:color w:val="auto"/>
                <w:lang w:val="en-US" w:eastAsia="zh-CN" w:bidi="ar"/>
              </w:rPr>
              <w:t>1</w:t>
            </w:r>
            <w:r>
              <w:rPr>
                <w:rStyle w:val="7"/>
                <w:color w:val="auto"/>
                <w:lang w:val="en-US" w:eastAsia="zh-CN" w:bidi="ar"/>
              </w:rPr>
              <w:t>00万以下得</w:t>
            </w:r>
            <w:r>
              <w:rPr>
                <w:rStyle w:val="7"/>
                <w:rFonts w:hint="eastAsia"/>
                <w:color w:val="auto"/>
                <w:lang w:val="en-US" w:eastAsia="zh-CN" w:bidi="ar"/>
              </w:rPr>
              <w:t>12</w:t>
            </w:r>
            <w:r>
              <w:rPr>
                <w:rStyle w:val="7"/>
                <w:color w:val="auto"/>
                <w:lang w:val="en-US" w:eastAsia="zh-CN" w:bidi="ar"/>
              </w:rPr>
              <w:t>分，</w:t>
            </w:r>
            <w:r>
              <w:rPr>
                <w:rStyle w:val="7"/>
                <w:rFonts w:hint="eastAsia"/>
                <w:color w:val="auto"/>
                <w:lang w:val="en-US" w:eastAsia="zh-CN" w:bidi="ar"/>
              </w:rPr>
              <w:t>1</w:t>
            </w:r>
            <w:r>
              <w:rPr>
                <w:rStyle w:val="7"/>
                <w:color w:val="auto"/>
                <w:lang w:val="en-US" w:eastAsia="zh-CN" w:bidi="ar"/>
              </w:rPr>
              <w:t>00万—</w:t>
            </w:r>
            <w:r>
              <w:rPr>
                <w:rStyle w:val="7"/>
                <w:rFonts w:hint="eastAsia"/>
                <w:color w:val="auto"/>
                <w:lang w:val="en-US" w:eastAsia="zh-CN" w:bidi="ar"/>
              </w:rPr>
              <w:t>5</w:t>
            </w:r>
            <w:r>
              <w:rPr>
                <w:rStyle w:val="7"/>
                <w:color w:val="auto"/>
                <w:lang w:val="en-US" w:eastAsia="zh-CN" w:bidi="ar"/>
              </w:rPr>
              <w:t>00万得</w:t>
            </w:r>
            <w:r>
              <w:rPr>
                <w:rStyle w:val="7"/>
                <w:rFonts w:hint="eastAsia"/>
                <w:color w:val="auto"/>
                <w:lang w:val="en-US" w:eastAsia="zh-CN" w:bidi="ar"/>
              </w:rPr>
              <w:t>14</w:t>
            </w:r>
            <w:r>
              <w:rPr>
                <w:rStyle w:val="7"/>
                <w:color w:val="auto"/>
                <w:lang w:val="en-US" w:eastAsia="zh-CN" w:bidi="ar"/>
              </w:rPr>
              <w:t>分，</w:t>
            </w:r>
            <w:r>
              <w:rPr>
                <w:rStyle w:val="7"/>
                <w:rFonts w:hint="eastAsia"/>
                <w:color w:val="auto"/>
                <w:lang w:val="en-US" w:eastAsia="zh-CN" w:bidi="ar"/>
              </w:rPr>
              <w:t>5</w:t>
            </w:r>
            <w:r>
              <w:rPr>
                <w:rStyle w:val="7"/>
                <w:color w:val="auto"/>
                <w:lang w:val="en-US" w:eastAsia="zh-CN" w:bidi="ar"/>
              </w:rPr>
              <w:t>00万以上得</w:t>
            </w:r>
            <w:r>
              <w:rPr>
                <w:rStyle w:val="7"/>
                <w:rFonts w:hint="eastAsia"/>
                <w:color w:val="auto"/>
                <w:lang w:val="en-US" w:eastAsia="zh-CN" w:bidi="ar"/>
              </w:rPr>
              <w:t>16</w:t>
            </w:r>
            <w:r>
              <w:rPr>
                <w:rStyle w:val="7"/>
                <w:color w:val="auto"/>
                <w:lang w:val="en-US" w:eastAsia="zh-CN" w:bidi="ar"/>
              </w:rPr>
              <w:t>分；</w:t>
            </w:r>
          </w:p>
          <w:p>
            <w:pPr>
              <w:keepNext w:val="0"/>
              <w:keepLines w:val="0"/>
              <w:pageBreakBefore w:val="0"/>
              <w:widowControl/>
              <w:suppressLineNumbers w:val="0"/>
              <w:wordWrap/>
              <w:topLinePunct w:val="0"/>
              <w:autoSpaceDE/>
              <w:autoSpaceDN/>
              <w:bidi w:val="0"/>
              <w:jc w:val="left"/>
              <w:textAlignment w:val="center"/>
              <w:outlineLvl w:val="9"/>
              <w:rPr>
                <w:rFonts w:hint="eastAsia" w:ascii="仿宋" w:hAnsi="仿宋" w:eastAsia="仿宋" w:cs="仿宋"/>
                <w:i w:val="0"/>
                <w:iCs w:val="0"/>
                <w:color w:val="auto"/>
                <w:sz w:val="22"/>
                <w:szCs w:val="22"/>
                <w:u w:val="none"/>
              </w:rPr>
            </w:pPr>
            <w:r>
              <w:rPr>
                <w:rStyle w:val="7"/>
                <w:color w:val="auto"/>
                <w:lang w:val="en-US" w:eastAsia="zh-CN" w:bidi="ar"/>
              </w:rPr>
              <w:t xml:space="preserve"> </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autoSpaceDE/>
              <w:autoSpaceDN/>
              <w:bidi w:val="0"/>
              <w:jc w:val="center"/>
              <w:textAlignment w:val="center"/>
              <w:outlineLvl w:val="9"/>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65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7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企业管理体系</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体系认证</w:t>
            </w:r>
          </w:p>
        </w:tc>
        <w:tc>
          <w:tcPr>
            <w:tcW w:w="10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topLinePunct w:val="0"/>
              <w:autoSpaceDE/>
              <w:autoSpaceDN/>
              <w:bidi w:val="0"/>
              <w:jc w:val="left"/>
              <w:textAlignment w:val="center"/>
              <w:outlineLvl w:val="9"/>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1.有，且有效。有一项得2分，满分4分；</w:t>
            </w:r>
          </w:p>
          <w:p>
            <w:pPr>
              <w:keepNext w:val="0"/>
              <w:keepLines w:val="0"/>
              <w:pageBreakBefore w:val="0"/>
              <w:widowControl/>
              <w:suppressLineNumbers w:val="0"/>
              <w:wordWrap/>
              <w:topLinePunct w:val="0"/>
              <w:autoSpaceDE/>
              <w:autoSpaceDN/>
              <w:bidi w:val="0"/>
              <w:jc w:val="left"/>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2.无。该项不得分。</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topLinePunct w:val="0"/>
              <w:autoSpaceDE/>
              <w:autoSpaceDN/>
              <w:bidi w:val="0"/>
              <w:jc w:val="center"/>
              <w:outlineLvl w:val="9"/>
              <w:rPr>
                <w:rFonts w:hint="eastAsia" w:ascii="仿宋" w:hAnsi="仿宋" w:eastAsia="仿宋" w:cs="仿宋"/>
                <w:i w:val="0"/>
                <w:iCs w:val="0"/>
                <w:color w:val="auto"/>
                <w:sz w:val="22"/>
                <w:szCs w:val="22"/>
                <w:u w:val="none"/>
              </w:rPr>
            </w:pPr>
          </w:p>
        </w:tc>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topLinePunct w:val="0"/>
              <w:autoSpaceDE/>
              <w:autoSpaceDN/>
              <w:bidi w:val="0"/>
              <w:jc w:val="center"/>
              <w:outlineLvl w:val="9"/>
              <w:rPr>
                <w:rFonts w:hint="eastAsia" w:ascii="仿宋" w:hAnsi="仿宋" w:eastAsia="仿宋" w:cs="仿宋"/>
                <w:i w:val="0"/>
                <w:iCs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管理制度</w:t>
            </w:r>
          </w:p>
        </w:tc>
        <w:tc>
          <w:tcPr>
            <w:tcW w:w="10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topLinePunct w:val="0"/>
              <w:autoSpaceDE/>
              <w:autoSpaceDN/>
              <w:bidi w:val="0"/>
              <w:jc w:val="left"/>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制度完善齐全得0-10分。</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autoSpaceDE/>
              <w:autoSpaceDN/>
              <w:bidi w:val="0"/>
              <w:jc w:val="center"/>
              <w:textAlignment w:val="center"/>
              <w:outlineLvl w:val="9"/>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topLinePunct w:val="0"/>
              <w:autoSpaceDE/>
              <w:autoSpaceDN/>
              <w:bidi w:val="0"/>
              <w:jc w:val="center"/>
              <w:outlineLvl w:val="9"/>
              <w:rPr>
                <w:rFonts w:hint="eastAsia" w:ascii="仿宋" w:hAnsi="仿宋" w:eastAsia="仿宋" w:cs="仿宋"/>
                <w:i w:val="0"/>
                <w:iCs w:val="0"/>
                <w:color w:val="auto"/>
                <w:sz w:val="22"/>
                <w:szCs w:val="22"/>
                <w:u w:val="none"/>
              </w:rPr>
            </w:pPr>
          </w:p>
        </w:tc>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topLinePunct w:val="0"/>
              <w:autoSpaceDE/>
              <w:autoSpaceDN/>
              <w:bidi w:val="0"/>
              <w:jc w:val="center"/>
              <w:outlineLvl w:val="9"/>
              <w:rPr>
                <w:rFonts w:hint="eastAsia" w:ascii="仿宋" w:hAnsi="仿宋" w:eastAsia="仿宋" w:cs="仿宋"/>
                <w:i w:val="0"/>
                <w:iCs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组织架构</w:t>
            </w:r>
          </w:p>
        </w:tc>
        <w:tc>
          <w:tcPr>
            <w:tcW w:w="10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topLinePunct w:val="0"/>
              <w:autoSpaceDE/>
              <w:autoSpaceDN/>
              <w:bidi w:val="0"/>
              <w:jc w:val="left"/>
              <w:textAlignment w:val="center"/>
              <w:outlineLvl w:val="9"/>
              <w:rPr>
                <w:rStyle w:val="9"/>
                <w:color w:val="auto"/>
                <w:lang w:val="en-US" w:eastAsia="zh-CN" w:bidi="ar"/>
              </w:rPr>
            </w:pPr>
            <w:r>
              <w:rPr>
                <w:rStyle w:val="9"/>
                <w:color w:val="auto"/>
                <w:lang w:val="en-US" w:eastAsia="zh-CN" w:bidi="ar"/>
              </w:rPr>
              <w:t>1.组织架构完善的得</w:t>
            </w:r>
            <w:r>
              <w:rPr>
                <w:rStyle w:val="9"/>
                <w:rFonts w:hint="eastAsia"/>
                <w:color w:val="auto"/>
                <w:lang w:val="en-US" w:eastAsia="zh-CN" w:bidi="ar"/>
              </w:rPr>
              <w:t>5</w:t>
            </w:r>
            <w:r>
              <w:rPr>
                <w:rStyle w:val="9"/>
                <w:color w:val="auto"/>
                <w:lang w:val="en-US" w:eastAsia="zh-CN" w:bidi="ar"/>
              </w:rPr>
              <w:t>分；</w:t>
            </w:r>
          </w:p>
          <w:p>
            <w:pPr>
              <w:keepNext w:val="0"/>
              <w:keepLines w:val="0"/>
              <w:pageBreakBefore w:val="0"/>
              <w:widowControl/>
              <w:suppressLineNumbers w:val="0"/>
              <w:wordWrap/>
              <w:topLinePunct w:val="0"/>
              <w:autoSpaceDE/>
              <w:autoSpaceDN/>
              <w:bidi w:val="0"/>
              <w:jc w:val="left"/>
              <w:textAlignment w:val="center"/>
              <w:outlineLvl w:val="9"/>
              <w:rPr>
                <w:rFonts w:hint="eastAsia" w:ascii="仿宋" w:hAnsi="仿宋" w:eastAsia="仿宋" w:cs="仿宋"/>
                <w:i w:val="0"/>
                <w:iCs w:val="0"/>
                <w:color w:val="auto"/>
                <w:sz w:val="22"/>
                <w:szCs w:val="22"/>
                <w:u w:val="none"/>
              </w:rPr>
            </w:pPr>
            <w:r>
              <w:rPr>
                <w:rStyle w:val="9"/>
                <w:color w:val="auto"/>
                <w:lang w:val="en-US" w:eastAsia="zh-CN" w:bidi="ar"/>
              </w:rPr>
              <w:t>2.组织构架中体现全过程工程咨询（</w:t>
            </w:r>
            <w:r>
              <w:rPr>
                <w:rStyle w:val="8"/>
                <w:color w:val="auto"/>
                <w:lang w:val="en-US" w:eastAsia="zh-CN" w:bidi="ar"/>
              </w:rPr>
              <w:t>工程咨询（投资）</w:t>
            </w:r>
            <w:r>
              <w:rPr>
                <w:rStyle w:val="9"/>
                <w:color w:val="auto"/>
                <w:lang w:val="en-US" w:eastAsia="zh-CN" w:bidi="ar"/>
              </w:rPr>
              <w:t>、造价、</w:t>
            </w:r>
            <w:r>
              <w:rPr>
                <w:rStyle w:val="8"/>
                <w:color w:val="auto"/>
                <w:lang w:val="en-US" w:eastAsia="zh-CN" w:bidi="ar"/>
              </w:rPr>
              <w:t>勘察</w:t>
            </w:r>
            <w:r>
              <w:rPr>
                <w:rStyle w:val="9"/>
                <w:color w:val="auto"/>
                <w:lang w:val="en-US" w:eastAsia="zh-CN" w:bidi="ar"/>
              </w:rPr>
              <w:t>设计、监理、招标代理），主营业务管理内容外增加一项管理内容的加2分,该项满分5分。</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autoSpaceDE/>
              <w:autoSpaceDN/>
              <w:bidi w:val="0"/>
              <w:jc w:val="center"/>
              <w:textAlignment w:val="center"/>
              <w:outlineLvl w:val="9"/>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98"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企业项目实践</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项目业绩</w:t>
            </w:r>
          </w:p>
        </w:tc>
        <w:tc>
          <w:tcPr>
            <w:tcW w:w="10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wordWrap/>
              <w:topLinePunct w:val="0"/>
              <w:autoSpaceDE/>
              <w:autoSpaceDN/>
              <w:bidi w:val="0"/>
              <w:jc w:val="left"/>
              <w:textAlignment w:val="center"/>
              <w:outlineLvl w:val="9"/>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类别：全过程工程咨询类;</w:t>
            </w:r>
          </w:p>
          <w:p>
            <w:pPr>
              <w:keepNext w:val="0"/>
              <w:keepLines w:val="0"/>
              <w:pageBreakBefore w:val="0"/>
              <w:widowControl/>
              <w:numPr>
                <w:ilvl w:val="0"/>
                <w:numId w:val="1"/>
              </w:numPr>
              <w:suppressLineNumbers w:val="0"/>
              <w:wordWrap/>
              <w:topLinePunct w:val="0"/>
              <w:autoSpaceDE/>
              <w:autoSpaceDN/>
              <w:bidi w:val="0"/>
              <w:jc w:val="left"/>
              <w:textAlignment w:val="center"/>
              <w:outlineLvl w:val="9"/>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 xml:space="preserve">评分细则：有全过程工程咨询类项目得15分；每增加一个项目加5分；                                                                                   </w:t>
            </w:r>
          </w:p>
          <w:p>
            <w:pPr>
              <w:keepNext w:val="0"/>
              <w:keepLines w:val="0"/>
              <w:pageBreakBefore w:val="0"/>
              <w:widowControl/>
              <w:suppressLineNumbers w:val="0"/>
              <w:wordWrap/>
              <w:topLinePunct w:val="0"/>
              <w:autoSpaceDE/>
              <w:autoSpaceDN/>
              <w:bidi w:val="0"/>
              <w:jc w:val="left"/>
              <w:textAlignment w:val="center"/>
              <w:outlineLvl w:val="9"/>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3.业绩计算起始日期为2020年1月1日。（以合同签订日期或项目完成日期为准）。</w:t>
            </w:r>
          </w:p>
          <w:p>
            <w:pPr>
              <w:keepNext w:val="0"/>
              <w:keepLines w:val="0"/>
              <w:pageBreakBefore w:val="0"/>
              <w:widowControl/>
              <w:suppressLineNumbers w:val="0"/>
              <w:wordWrap/>
              <w:topLinePunct w:val="0"/>
              <w:autoSpaceDE/>
              <w:autoSpaceDN/>
              <w:bidi w:val="0"/>
              <w:jc w:val="left"/>
              <w:textAlignment w:val="center"/>
              <w:outlineLvl w:val="9"/>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4.累计计分，该项总分不超过20分。</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autoSpaceDE/>
              <w:autoSpaceDN/>
              <w:bidi w:val="0"/>
              <w:jc w:val="center"/>
              <w:textAlignment w:val="center"/>
              <w:outlineLvl w:val="9"/>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8" w:hRule="atLeast"/>
        </w:trPr>
        <w:tc>
          <w:tcPr>
            <w:tcW w:w="65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7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企业社会认可度</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获奖情况</w:t>
            </w:r>
          </w:p>
        </w:tc>
        <w:tc>
          <w:tcPr>
            <w:tcW w:w="10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topLinePunct w:val="0"/>
              <w:autoSpaceDE/>
              <w:autoSpaceDN/>
              <w:bidi w:val="0"/>
              <w:jc w:val="left"/>
              <w:textAlignment w:val="center"/>
              <w:outlineLvl w:val="9"/>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1.国家级奖项，每项得6分；</w:t>
            </w:r>
          </w:p>
          <w:p>
            <w:pPr>
              <w:keepNext w:val="0"/>
              <w:keepLines w:val="0"/>
              <w:pageBreakBefore w:val="0"/>
              <w:widowControl/>
              <w:suppressLineNumbers w:val="0"/>
              <w:wordWrap/>
              <w:topLinePunct w:val="0"/>
              <w:autoSpaceDE/>
              <w:autoSpaceDN/>
              <w:bidi w:val="0"/>
              <w:jc w:val="left"/>
              <w:textAlignment w:val="center"/>
              <w:outlineLvl w:val="9"/>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2.省级奖项，每项得5分；</w:t>
            </w:r>
          </w:p>
          <w:p>
            <w:pPr>
              <w:keepNext w:val="0"/>
              <w:keepLines w:val="0"/>
              <w:pageBreakBefore w:val="0"/>
              <w:widowControl/>
              <w:suppressLineNumbers w:val="0"/>
              <w:wordWrap/>
              <w:topLinePunct w:val="0"/>
              <w:autoSpaceDE/>
              <w:autoSpaceDN/>
              <w:bidi w:val="0"/>
              <w:jc w:val="left"/>
              <w:textAlignment w:val="center"/>
              <w:outlineLvl w:val="9"/>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 xml:space="preserve">3.市级奖项，每项得4分；                                                                   </w:t>
            </w:r>
          </w:p>
          <w:p>
            <w:pPr>
              <w:keepNext w:val="0"/>
              <w:keepLines w:val="0"/>
              <w:pageBreakBefore w:val="0"/>
              <w:widowControl/>
              <w:suppressLineNumbers w:val="0"/>
              <w:wordWrap/>
              <w:topLinePunct w:val="0"/>
              <w:autoSpaceDE/>
              <w:autoSpaceDN/>
              <w:bidi w:val="0"/>
              <w:jc w:val="left"/>
              <w:textAlignment w:val="center"/>
              <w:outlineLvl w:val="9"/>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4.获奖计算起始日期为2020年1月1日；</w:t>
            </w:r>
          </w:p>
          <w:p>
            <w:pPr>
              <w:keepNext w:val="0"/>
              <w:keepLines w:val="0"/>
              <w:pageBreakBefore w:val="0"/>
              <w:widowControl/>
              <w:suppressLineNumbers w:val="0"/>
              <w:wordWrap/>
              <w:topLinePunct w:val="0"/>
              <w:autoSpaceDE/>
              <w:autoSpaceDN/>
              <w:bidi w:val="0"/>
              <w:jc w:val="left"/>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5.总分不超过6分（重复计分）。</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8"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topLinePunct w:val="0"/>
              <w:autoSpaceDE/>
              <w:autoSpaceDN/>
              <w:bidi w:val="0"/>
              <w:jc w:val="center"/>
              <w:outlineLvl w:val="9"/>
              <w:rPr>
                <w:rFonts w:hint="eastAsia" w:ascii="仿宋" w:hAnsi="仿宋" w:eastAsia="仿宋" w:cs="仿宋"/>
                <w:i w:val="0"/>
                <w:iCs w:val="0"/>
                <w:color w:val="auto"/>
                <w:sz w:val="22"/>
                <w:szCs w:val="22"/>
                <w:u w:val="none"/>
              </w:rPr>
            </w:pPr>
          </w:p>
        </w:tc>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topLinePunct w:val="0"/>
              <w:autoSpaceDE/>
              <w:autoSpaceDN/>
              <w:bidi w:val="0"/>
              <w:jc w:val="center"/>
              <w:outlineLvl w:val="9"/>
              <w:rPr>
                <w:rFonts w:hint="eastAsia" w:ascii="仿宋" w:hAnsi="仿宋" w:eastAsia="仿宋" w:cs="仿宋"/>
                <w:i w:val="0"/>
                <w:iCs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科研创新项</w:t>
            </w:r>
          </w:p>
        </w:tc>
        <w:tc>
          <w:tcPr>
            <w:tcW w:w="10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topLinePunct w:val="0"/>
              <w:autoSpaceDE/>
              <w:autoSpaceDN/>
              <w:bidi w:val="0"/>
              <w:jc w:val="left"/>
              <w:textAlignment w:val="center"/>
              <w:outlineLvl w:val="9"/>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1.企业积极运用新技术新方法（如BIM、GIS、无人机等）得4分；</w:t>
            </w:r>
          </w:p>
          <w:p>
            <w:pPr>
              <w:keepNext w:val="0"/>
              <w:keepLines w:val="0"/>
              <w:pageBreakBefore w:val="0"/>
              <w:widowControl/>
              <w:suppressLineNumbers w:val="0"/>
              <w:wordWrap/>
              <w:topLinePunct w:val="0"/>
              <w:autoSpaceDE/>
              <w:autoSpaceDN/>
              <w:bidi w:val="0"/>
              <w:jc w:val="left"/>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2.该项不受时间限制。                                                                                                                 </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topLinePunct w:val="0"/>
              <w:autoSpaceDE/>
              <w:autoSpaceDN/>
              <w:bidi w:val="0"/>
              <w:jc w:val="center"/>
              <w:outlineLvl w:val="9"/>
              <w:rPr>
                <w:rFonts w:hint="eastAsia" w:ascii="仿宋" w:hAnsi="仿宋" w:eastAsia="仿宋" w:cs="仿宋"/>
                <w:i w:val="0"/>
                <w:iCs w:val="0"/>
                <w:color w:val="auto"/>
                <w:sz w:val="22"/>
                <w:szCs w:val="22"/>
                <w:u w:val="none"/>
              </w:rPr>
            </w:pPr>
          </w:p>
        </w:tc>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topLinePunct w:val="0"/>
              <w:autoSpaceDE/>
              <w:autoSpaceDN/>
              <w:bidi w:val="0"/>
              <w:jc w:val="center"/>
              <w:outlineLvl w:val="9"/>
              <w:rPr>
                <w:rFonts w:hint="eastAsia" w:ascii="仿宋" w:hAnsi="仿宋" w:eastAsia="仿宋" w:cs="仿宋"/>
                <w:i w:val="0"/>
                <w:iCs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党建工作</w:t>
            </w:r>
          </w:p>
        </w:tc>
        <w:tc>
          <w:tcPr>
            <w:tcW w:w="10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topLinePunct w:val="0"/>
              <w:autoSpaceDE/>
              <w:autoSpaceDN/>
              <w:bidi w:val="0"/>
              <w:jc w:val="left"/>
              <w:textAlignment w:val="center"/>
              <w:outlineLvl w:val="9"/>
              <w:rPr>
                <w:rStyle w:val="7"/>
                <w:color w:val="auto"/>
                <w:lang w:val="en-US" w:eastAsia="zh-CN" w:bidi="ar"/>
              </w:rPr>
            </w:pPr>
            <w:r>
              <w:rPr>
                <w:rStyle w:val="7"/>
                <w:color w:val="auto"/>
                <w:lang w:val="en-US" w:eastAsia="zh-CN" w:bidi="ar"/>
              </w:rPr>
              <w:t>1.企业成立党组织，</w:t>
            </w:r>
            <w:r>
              <w:rPr>
                <w:rStyle w:val="8"/>
                <w:color w:val="auto"/>
                <w:lang w:val="en-US" w:eastAsia="zh-CN" w:bidi="ar"/>
              </w:rPr>
              <w:t>得</w:t>
            </w:r>
            <w:r>
              <w:rPr>
                <w:rStyle w:val="8"/>
                <w:rFonts w:hint="eastAsia"/>
                <w:color w:val="auto"/>
                <w:lang w:val="en-US" w:eastAsia="zh-CN" w:bidi="ar"/>
              </w:rPr>
              <w:t>4</w:t>
            </w:r>
            <w:r>
              <w:rPr>
                <w:rStyle w:val="8"/>
                <w:color w:val="auto"/>
                <w:lang w:val="en-US" w:eastAsia="zh-CN" w:bidi="ar"/>
              </w:rPr>
              <w:t>分</w:t>
            </w:r>
            <w:r>
              <w:rPr>
                <w:rStyle w:val="7"/>
                <w:color w:val="auto"/>
                <w:lang w:val="en-US" w:eastAsia="zh-CN" w:bidi="ar"/>
              </w:rPr>
              <w:t>；（有正式的批复文件证明）</w:t>
            </w:r>
          </w:p>
          <w:p>
            <w:pPr>
              <w:keepNext w:val="0"/>
              <w:keepLines w:val="0"/>
              <w:pageBreakBefore w:val="0"/>
              <w:widowControl/>
              <w:suppressLineNumbers w:val="0"/>
              <w:wordWrap/>
              <w:topLinePunct w:val="0"/>
              <w:autoSpaceDE/>
              <w:autoSpaceDN/>
              <w:bidi w:val="0"/>
              <w:jc w:val="left"/>
              <w:textAlignment w:val="center"/>
              <w:outlineLvl w:val="9"/>
              <w:rPr>
                <w:rFonts w:hint="eastAsia" w:ascii="仿宋" w:hAnsi="仿宋" w:eastAsia="仿宋" w:cs="仿宋"/>
                <w:i w:val="0"/>
                <w:iCs w:val="0"/>
                <w:color w:val="auto"/>
                <w:sz w:val="22"/>
                <w:szCs w:val="22"/>
                <w:u w:val="none"/>
              </w:rPr>
            </w:pPr>
            <w:r>
              <w:rPr>
                <w:rStyle w:val="7"/>
                <w:color w:val="auto"/>
                <w:lang w:val="en-US" w:eastAsia="zh-CN" w:bidi="ar"/>
              </w:rPr>
              <w:t>2.企业党建工作获得表彰，</w:t>
            </w:r>
            <w:r>
              <w:rPr>
                <w:rStyle w:val="8"/>
                <w:color w:val="auto"/>
                <w:lang w:val="en-US" w:eastAsia="zh-CN" w:bidi="ar"/>
              </w:rPr>
              <w:t>得</w:t>
            </w:r>
            <w:r>
              <w:rPr>
                <w:rStyle w:val="8"/>
                <w:rFonts w:hint="eastAsia"/>
                <w:color w:val="auto"/>
                <w:lang w:val="en-US" w:eastAsia="zh-CN" w:bidi="ar"/>
              </w:rPr>
              <w:t>1</w:t>
            </w:r>
            <w:r>
              <w:rPr>
                <w:rStyle w:val="8"/>
                <w:color w:val="auto"/>
                <w:lang w:val="en-US" w:eastAsia="zh-CN" w:bidi="ar"/>
              </w:rPr>
              <w:t>分</w:t>
            </w:r>
            <w:r>
              <w:rPr>
                <w:rStyle w:val="7"/>
                <w:color w:val="auto"/>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658"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c>
          <w:tcPr>
            <w:tcW w:w="20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协会贡献</w:t>
            </w:r>
          </w:p>
        </w:tc>
        <w:tc>
          <w:tcPr>
            <w:tcW w:w="10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topLinePunct w:val="0"/>
              <w:autoSpaceDE/>
              <w:autoSpaceDN/>
              <w:bidi w:val="0"/>
              <w:jc w:val="left"/>
              <w:textAlignment w:val="center"/>
              <w:outlineLvl w:val="9"/>
              <w:rPr>
                <w:rStyle w:val="8"/>
                <w:color w:val="auto"/>
                <w:lang w:val="en-US" w:eastAsia="zh-CN" w:bidi="ar"/>
              </w:rPr>
            </w:pPr>
            <w:r>
              <w:rPr>
                <w:rStyle w:val="7"/>
                <w:color w:val="auto"/>
                <w:lang w:val="en-US" w:eastAsia="zh-CN" w:bidi="ar"/>
              </w:rPr>
              <w:t>1.</w:t>
            </w:r>
            <w:r>
              <w:rPr>
                <w:rStyle w:val="8"/>
                <w:color w:val="auto"/>
                <w:lang w:val="en-US" w:eastAsia="zh-CN" w:bidi="ar"/>
              </w:rPr>
              <w:t>在协会担任副会长、</w:t>
            </w:r>
            <w:r>
              <w:rPr>
                <w:rStyle w:val="8"/>
                <w:rFonts w:hint="eastAsia"/>
                <w:color w:val="auto"/>
                <w:lang w:val="en-US" w:eastAsia="zh-CN" w:bidi="ar"/>
              </w:rPr>
              <w:t>监事长、</w:t>
            </w:r>
            <w:r>
              <w:rPr>
                <w:rStyle w:val="8"/>
                <w:color w:val="auto"/>
                <w:lang w:val="en-US" w:eastAsia="zh-CN" w:bidi="ar"/>
              </w:rPr>
              <w:t>秘书长、副秘书长单位的得</w:t>
            </w:r>
            <w:r>
              <w:rPr>
                <w:rStyle w:val="8"/>
                <w:rFonts w:hint="eastAsia"/>
                <w:color w:val="auto"/>
                <w:lang w:val="en-US" w:eastAsia="zh-CN" w:bidi="ar"/>
              </w:rPr>
              <w:t>3</w:t>
            </w:r>
            <w:r>
              <w:rPr>
                <w:rStyle w:val="8"/>
                <w:color w:val="auto"/>
                <w:lang w:val="en-US" w:eastAsia="zh-CN" w:bidi="ar"/>
              </w:rPr>
              <w:t>分，</w:t>
            </w:r>
            <w:r>
              <w:rPr>
                <w:rStyle w:val="8"/>
                <w:rFonts w:hint="eastAsia"/>
                <w:color w:val="auto"/>
                <w:lang w:val="en-US" w:eastAsia="zh-CN" w:bidi="ar"/>
              </w:rPr>
              <w:t>担任理事单位得2分</w:t>
            </w:r>
            <w:r>
              <w:rPr>
                <w:rStyle w:val="8"/>
                <w:color w:val="auto"/>
                <w:lang w:val="en-US" w:eastAsia="zh-CN" w:bidi="ar"/>
              </w:rPr>
              <w:t>，其它得1分；</w:t>
            </w:r>
          </w:p>
          <w:p>
            <w:pPr>
              <w:keepNext w:val="0"/>
              <w:keepLines w:val="0"/>
              <w:pageBreakBefore w:val="0"/>
              <w:widowControl/>
              <w:suppressLineNumbers w:val="0"/>
              <w:wordWrap/>
              <w:topLinePunct w:val="0"/>
              <w:autoSpaceDE/>
              <w:autoSpaceDN/>
              <w:bidi w:val="0"/>
              <w:jc w:val="left"/>
              <w:textAlignment w:val="center"/>
              <w:outlineLvl w:val="9"/>
              <w:rPr>
                <w:rStyle w:val="7"/>
                <w:color w:val="auto"/>
                <w:lang w:val="en-US" w:eastAsia="zh-CN" w:bidi="ar"/>
              </w:rPr>
            </w:pPr>
            <w:r>
              <w:rPr>
                <w:rStyle w:val="7"/>
                <w:color w:val="auto"/>
                <w:lang w:val="en-US" w:eastAsia="zh-CN" w:bidi="ar"/>
              </w:rPr>
              <w:t>2.对协会工作开展、人力、财力、智力等方面的支持，得</w:t>
            </w:r>
            <w:r>
              <w:rPr>
                <w:rStyle w:val="8"/>
                <w:color w:val="auto"/>
                <w:lang w:val="en-US" w:eastAsia="zh-CN" w:bidi="ar"/>
              </w:rPr>
              <w:t>0-2</w:t>
            </w:r>
            <w:r>
              <w:rPr>
                <w:rStyle w:val="7"/>
                <w:color w:val="auto"/>
                <w:lang w:val="en-US" w:eastAsia="zh-CN" w:bidi="ar"/>
              </w:rPr>
              <w:t xml:space="preserve">分；                                                                         </w:t>
            </w:r>
          </w:p>
          <w:p>
            <w:pPr>
              <w:keepNext w:val="0"/>
              <w:keepLines w:val="0"/>
              <w:pageBreakBefore w:val="0"/>
              <w:widowControl/>
              <w:suppressLineNumbers w:val="0"/>
              <w:wordWrap/>
              <w:topLinePunct w:val="0"/>
              <w:autoSpaceDE/>
              <w:autoSpaceDN/>
              <w:bidi w:val="0"/>
              <w:jc w:val="left"/>
              <w:textAlignment w:val="center"/>
              <w:outlineLvl w:val="9"/>
              <w:rPr>
                <w:rFonts w:hint="eastAsia" w:ascii="仿宋" w:hAnsi="仿宋" w:eastAsia="仿宋" w:cs="仿宋"/>
                <w:i w:val="0"/>
                <w:iCs w:val="0"/>
                <w:color w:val="auto"/>
                <w:sz w:val="22"/>
                <w:szCs w:val="22"/>
                <w:u w:val="none"/>
              </w:rPr>
            </w:pPr>
            <w:r>
              <w:rPr>
                <w:rStyle w:val="7"/>
                <w:color w:val="auto"/>
                <w:lang w:val="en-US" w:eastAsia="zh-CN" w:bidi="ar"/>
              </w:rPr>
              <w:t>3.该项得分总分不超过</w:t>
            </w:r>
            <w:r>
              <w:rPr>
                <w:rStyle w:val="7"/>
                <w:rFonts w:hint="eastAsia"/>
                <w:color w:val="auto"/>
                <w:lang w:val="en-US" w:eastAsia="zh-CN" w:bidi="ar"/>
              </w:rPr>
              <w:t>5</w:t>
            </w:r>
            <w:r>
              <w:rPr>
                <w:rStyle w:val="7"/>
                <w:color w:val="auto"/>
                <w:lang w:val="en-US" w:eastAsia="zh-CN" w:bidi="ar"/>
              </w:rPr>
              <w:t>分。</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658" w:type="dxa"/>
            <w:tcBorders>
              <w:top w:val="nil"/>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w:t>
            </w:r>
          </w:p>
        </w:tc>
        <w:tc>
          <w:tcPr>
            <w:tcW w:w="2086" w:type="dxa"/>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综合评价</w:t>
            </w:r>
          </w:p>
        </w:tc>
        <w:tc>
          <w:tcPr>
            <w:tcW w:w="1063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wordWrap/>
              <w:topLinePunct w:val="0"/>
              <w:autoSpaceDE/>
              <w:autoSpaceDN/>
              <w:bidi w:val="0"/>
              <w:jc w:val="left"/>
              <w:textAlignment w:val="center"/>
              <w:outlineLvl w:val="9"/>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1.评优申报材料质量及效果；</w:t>
            </w:r>
          </w:p>
          <w:p>
            <w:pPr>
              <w:keepNext w:val="0"/>
              <w:keepLines w:val="0"/>
              <w:pageBreakBefore w:val="0"/>
              <w:widowControl/>
              <w:suppressLineNumbers w:val="0"/>
              <w:wordWrap/>
              <w:topLinePunct w:val="0"/>
              <w:autoSpaceDE/>
              <w:autoSpaceDN/>
              <w:bidi w:val="0"/>
              <w:jc w:val="left"/>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2.该项得分总分不超过5分。</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3378" w:type="dxa"/>
            <w:gridSpan w:val="4"/>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总计得分</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w:t>
            </w:r>
          </w:p>
        </w:tc>
      </w:tr>
    </w:tbl>
    <w:p>
      <w:pPr>
        <w:pStyle w:val="2"/>
        <w:keepNext w:val="0"/>
        <w:keepLines w:val="0"/>
        <w:pageBreakBefore w:val="0"/>
        <w:wordWrap/>
        <w:topLinePunct w:val="0"/>
        <w:autoSpaceDE/>
        <w:autoSpaceDN/>
        <w:bidi w:val="0"/>
        <w:outlineLvl w:val="9"/>
        <w:rPr>
          <w:rFonts w:hint="eastAsia" w:ascii="仿宋" w:hAnsi="仿宋" w:eastAsia="仿宋" w:cs="仿宋"/>
          <w:i w:val="0"/>
          <w:caps w:val="0"/>
          <w:color w:val="auto"/>
          <w:spacing w:val="0"/>
          <w:sz w:val="32"/>
          <w:szCs w:val="32"/>
          <w:shd w:val="clear" w:color="auto" w:fill="FFFFFF"/>
          <w:lang w:val="en-US" w:eastAsia="zh-CN"/>
        </w:rPr>
        <w:sectPr>
          <w:pgSz w:w="16838" w:h="11906" w:orient="landscape"/>
          <w:pgMar w:top="1800" w:right="1440" w:bottom="1800" w:left="1440" w:header="851" w:footer="992" w:gutter="0"/>
          <w:pgNumType w:fmt="decimal"/>
          <w:cols w:space="720" w:num="1"/>
          <w:docGrid w:type="lines" w:linePitch="312" w:charSpace="0"/>
        </w:sectPr>
      </w:pPr>
    </w:p>
    <w:tbl>
      <w:tblPr>
        <w:tblStyle w:val="3"/>
        <w:tblW w:w="139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8"/>
        <w:gridCol w:w="1080"/>
        <w:gridCol w:w="1462"/>
        <w:gridCol w:w="8633"/>
        <w:gridCol w:w="2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2" w:hRule="atLeast"/>
        </w:trPr>
        <w:tc>
          <w:tcPr>
            <w:tcW w:w="13963"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topLinePunct w:val="0"/>
              <w:autoSpaceDE/>
              <w:autoSpaceDN/>
              <w:bidi w:val="0"/>
              <w:jc w:val="center"/>
              <w:textAlignment w:val="center"/>
              <w:outlineLvl w:val="9"/>
              <w:rPr>
                <w:rFonts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30"/>
                <w:szCs w:val="30"/>
                <w:u w:val="none"/>
                <w:lang w:val="en-US" w:eastAsia="zh-CN" w:bidi="ar"/>
              </w:rPr>
              <w:t>2022年度池州市全过程工程咨询优秀项目负责人评分细则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FF0000"/>
            <w:noWrap w:val="0"/>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大类</w:t>
            </w:r>
          </w:p>
        </w:tc>
        <w:tc>
          <w:tcPr>
            <w:tcW w:w="1462" w:type="dxa"/>
            <w:tcBorders>
              <w:top w:val="single" w:color="000000" w:sz="4" w:space="0"/>
              <w:left w:val="single" w:color="000000" w:sz="4" w:space="0"/>
              <w:bottom w:val="single" w:color="000000" w:sz="4" w:space="0"/>
              <w:right w:val="single" w:color="000000" w:sz="4" w:space="0"/>
            </w:tcBorders>
            <w:shd w:val="clear" w:color="auto" w:fill="FF0000"/>
            <w:noWrap w:val="0"/>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要项</w:t>
            </w:r>
          </w:p>
        </w:tc>
        <w:tc>
          <w:tcPr>
            <w:tcW w:w="8633" w:type="dxa"/>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评分细则</w:t>
            </w:r>
          </w:p>
        </w:tc>
        <w:tc>
          <w:tcPr>
            <w:tcW w:w="2130" w:type="dxa"/>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分值设置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80" w:hRule="atLeast"/>
        </w:trPr>
        <w:tc>
          <w:tcPr>
            <w:tcW w:w="65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任职资格</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注册资格</w:t>
            </w:r>
          </w:p>
        </w:tc>
        <w:tc>
          <w:tcPr>
            <w:tcW w:w="8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topLinePunct w:val="0"/>
              <w:autoSpaceDE/>
              <w:autoSpaceDN/>
              <w:bidi w:val="0"/>
              <w:jc w:val="left"/>
              <w:textAlignment w:val="center"/>
              <w:outlineLvl w:val="9"/>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1.分类：工程咨询（投资）、造价、勘察、设计、监理、招标代理；</w:t>
            </w:r>
          </w:p>
          <w:p>
            <w:pPr>
              <w:keepNext w:val="0"/>
              <w:keepLines w:val="0"/>
              <w:pageBreakBefore w:val="0"/>
              <w:widowControl/>
              <w:suppressLineNumbers w:val="0"/>
              <w:wordWrap/>
              <w:topLinePunct w:val="0"/>
              <w:autoSpaceDE/>
              <w:autoSpaceDN/>
              <w:bidi w:val="0"/>
              <w:jc w:val="left"/>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2.评分细则：有注册咨询工程师、注册造价工程师、注册一级建筑师、注册一级结构师、注册设备工程师、注册监理工程师、注册一级建造师资质等的任一项建筑类注册资格得10分，每增加以上一类注册的加5分，总分不超过20分；                   </w:t>
            </w:r>
          </w:p>
        </w:tc>
        <w:tc>
          <w:tcPr>
            <w:tcW w:w="21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autoSpaceDE/>
              <w:autoSpaceDN/>
              <w:bidi w:val="0"/>
              <w:jc w:val="center"/>
              <w:textAlignment w:val="center"/>
              <w:outlineLvl w:val="9"/>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ordWrap/>
              <w:topLinePunct w:val="0"/>
              <w:autoSpaceDE/>
              <w:autoSpaceDN/>
              <w:bidi w:val="0"/>
              <w:jc w:val="center"/>
              <w:outlineLvl w:val="9"/>
              <w:rPr>
                <w:rFonts w:hint="eastAsia" w:ascii="仿宋" w:hAnsi="仿宋" w:eastAsia="仿宋" w:cs="仿宋"/>
                <w:i w:val="0"/>
                <w:iCs w:val="0"/>
                <w:color w:val="auto"/>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topLinePunct w:val="0"/>
              <w:autoSpaceDE/>
              <w:autoSpaceDN/>
              <w:bidi w:val="0"/>
              <w:jc w:val="center"/>
              <w:outlineLvl w:val="9"/>
              <w:rPr>
                <w:rFonts w:hint="eastAsia" w:ascii="仿宋" w:hAnsi="仿宋" w:eastAsia="仿宋" w:cs="仿宋"/>
                <w:i w:val="0"/>
                <w:iCs w:val="0"/>
                <w:color w:val="auto"/>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职称等级</w:t>
            </w:r>
          </w:p>
        </w:tc>
        <w:tc>
          <w:tcPr>
            <w:tcW w:w="8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topLinePunct w:val="0"/>
              <w:autoSpaceDE/>
              <w:autoSpaceDN/>
              <w:bidi w:val="0"/>
              <w:jc w:val="left"/>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高级（20分）、中级（15分） 。</w:t>
            </w:r>
          </w:p>
        </w:tc>
        <w:tc>
          <w:tcPr>
            <w:tcW w:w="21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autoSpaceDE/>
              <w:autoSpaceDN/>
              <w:bidi w:val="0"/>
              <w:jc w:val="center"/>
              <w:textAlignment w:val="center"/>
              <w:outlineLvl w:val="9"/>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实践能力</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项目业绩</w:t>
            </w:r>
          </w:p>
        </w:tc>
        <w:tc>
          <w:tcPr>
            <w:tcW w:w="86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wordWrap/>
              <w:topLinePunct w:val="0"/>
              <w:autoSpaceDE/>
              <w:autoSpaceDN/>
              <w:bidi w:val="0"/>
              <w:jc w:val="left"/>
              <w:textAlignment w:val="center"/>
              <w:outlineLvl w:val="9"/>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1.担任全过程工程咨询项目负责人，每个项目可得10分；</w:t>
            </w:r>
          </w:p>
          <w:p>
            <w:pPr>
              <w:keepNext w:val="0"/>
              <w:keepLines w:val="0"/>
              <w:pageBreakBefore w:val="0"/>
              <w:widowControl/>
              <w:suppressLineNumbers w:val="0"/>
              <w:wordWrap/>
              <w:topLinePunct w:val="0"/>
              <w:autoSpaceDE/>
              <w:autoSpaceDN/>
              <w:bidi w:val="0"/>
              <w:jc w:val="left"/>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2.累计计分，该项得分不超过20分；                                                 4.项目计算起始日期为2020年1月1日。</w:t>
            </w:r>
          </w:p>
        </w:tc>
        <w:tc>
          <w:tcPr>
            <w:tcW w:w="21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90"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社会认可度</w:t>
            </w:r>
          </w:p>
        </w:tc>
        <w:tc>
          <w:tcPr>
            <w:tcW w:w="146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获奖情况</w:t>
            </w:r>
          </w:p>
        </w:tc>
        <w:tc>
          <w:tcPr>
            <w:tcW w:w="86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wordWrap/>
              <w:topLinePunct w:val="0"/>
              <w:autoSpaceDE/>
              <w:autoSpaceDN/>
              <w:bidi w:val="0"/>
              <w:jc w:val="left"/>
              <w:textAlignment w:val="center"/>
              <w:outlineLvl w:val="9"/>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1.国家级奖项每项得7分；</w:t>
            </w:r>
          </w:p>
          <w:p>
            <w:pPr>
              <w:keepNext w:val="0"/>
              <w:keepLines w:val="0"/>
              <w:pageBreakBefore w:val="0"/>
              <w:widowControl/>
              <w:suppressLineNumbers w:val="0"/>
              <w:wordWrap/>
              <w:topLinePunct w:val="0"/>
              <w:autoSpaceDE/>
              <w:autoSpaceDN/>
              <w:bidi w:val="0"/>
              <w:jc w:val="left"/>
              <w:textAlignment w:val="center"/>
              <w:outlineLvl w:val="9"/>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2.省级奖项每项得6分；</w:t>
            </w:r>
          </w:p>
          <w:p>
            <w:pPr>
              <w:keepNext w:val="0"/>
              <w:keepLines w:val="0"/>
              <w:pageBreakBefore w:val="0"/>
              <w:widowControl/>
              <w:suppressLineNumbers w:val="0"/>
              <w:wordWrap/>
              <w:topLinePunct w:val="0"/>
              <w:autoSpaceDE/>
              <w:autoSpaceDN/>
              <w:bidi w:val="0"/>
              <w:jc w:val="left"/>
              <w:textAlignment w:val="center"/>
              <w:outlineLvl w:val="9"/>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3.市级奖项每项得5分；</w:t>
            </w:r>
          </w:p>
          <w:p>
            <w:pPr>
              <w:keepNext w:val="0"/>
              <w:keepLines w:val="0"/>
              <w:pageBreakBefore w:val="0"/>
              <w:widowControl/>
              <w:suppressLineNumbers w:val="0"/>
              <w:wordWrap/>
              <w:topLinePunct w:val="0"/>
              <w:autoSpaceDE/>
              <w:autoSpaceDN/>
              <w:bidi w:val="0"/>
              <w:jc w:val="left"/>
              <w:textAlignment w:val="center"/>
              <w:outlineLvl w:val="9"/>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4.获奖计算起始日期为2020年1月1日。</w:t>
            </w:r>
          </w:p>
          <w:p>
            <w:pPr>
              <w:keepNext w:val="0"/>
              <w:keepLines w:val="0"/>
              <w:pageBreakBefore w:val="0"/>
              <w:widowControl/>
              <w:suppressLineNumbers w:val="0"/>
              <w:wordWrap/>
              <w:topLinePunct w:val="0"/>
              <w:autoSpaceDE/>
              <w:autoSpaceDN/>
              <w:bidi w:val="0"/>
              <w:jc w:val="left"/>
              <w:textAlignment w:val="center"/>
              <w:outlineLvl w:val="9"/>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4.累计计分，该项总分不超过10分。</w:t>
            </w:r>
          </w:p>
          <w:p>
            <w:pPr>
              <w:keepNext w:val="0"/>
              <w:keepLines w:val="0"/>
              <w:pageBreakBefore w:val="0"/>
              <w:widowControl/>
              <w:suppressLineNumbers w:val="0"/>
              <w:wordWrap/>
              <w:topLinePunct w:val="0"/>
              <w:autoSpaceDE/>
              <w:autoSpaceDN/>
              <w:bidi w:val="0"/>
              <w:jc w:val="left"/>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w:t>
            </w:r>
          </w:p>
        </w:tc>
        <w:tc>
          <w:tcPr>
            <w:tcW w:w="21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8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autoSpaceDE/>
              <w:autoSpaceDN/>
              <w:bidi w:val="0"/>
              <w:jc w:val="center"/>
              <w:outlineLvl w:val="9"/>
              <w:rPr>
                <w:rFonts w:hint="eastAsia" w:ascii="仿宋" w:hAnsi="仿宋" w:eastAsia="仿宋" w:cs="仿宋"/>
                <w:i w:val="0"/>
                <w:iCs w:val="0"/>
                <w:color w:val="auto"/>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ordWrap/>
              <w:topLinePunct w:val="0"/>
              <w:autoSpaceDE/>
              <w:autoSpaceDN/>
              <w:bidi w:val="0"/>
              <w:jc w:val="center"/>
              <w:outlineLvl w:val="9"/>
              <w:rPr>
                <w:rFonts w:hint="eastAsia" w:ascii="仿宋" w:hAnsi="仿宋" w:eastAsia="仿宋" w:cs="仿宋"/>
                <w:i w:val="0"/>
                <w:iCs w:val="0"/>
                <w:color w:val="auto"/>
                <w:sz w:val="22"/>
                <w:szCs w:val="22"/>
                <w:u w:val="none"/>
              </w:rPr>
            </w:pPr>
          </w:p>
        </w:tc>
        <w:tc>
          <w:tcPr>
            <w:tcW w:w="146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论文发表</w:t>
            </w:r>
          </w:p>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出版书籍</w:t>
            </w:r>
          </w:p>
        </w:tc>
        <w:tc>
          <w:tcPr>
            <w:tcW w:w="86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wordWrap/>
              <w:topLinePunct w:val="0"/>
              <w:autoSpaceDE/>
              <w:autoSpaceDN/>
              <w:bidi w:val="0"/>
              <w:jc w:val="left"/>
              <w:textAlignment w:val="center"/>
              <w:outlineLvl w:val="9"/>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1.国家级刊物发表文章、主编专业书籍，每项3分；</w:t>
            </w:r>
          </w:p>
          <w:p>
            <w:pPr>
              <w:keepNext w:val="0"/>
              <w:keepLines w:val="0"/>
              <w:pageBreakBefore w:val="0"/>
              <w:widowControl/>
              <w:suppressLineNumbers w:val="0"/>
              <w:wordWrap/>
              <w:topLinePunct w:val="0"/>
              <w:autoSpaceDE/>
              <w:autoSpaceDN/>
              <w:bidi w:val="0"/>
              <w:jc w:val="left"/>
              <w:textAlignment w:val="center"/>
              <w:outlineLvl w:val="9"/>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2.省级刊物发表，每篇2分；</w:t>
            </w:r>
          </w:p>
          <w:p>
            <w:pPr>
              <w:keepNext w:val="0"/>
              <w:keepLines w:val="0"/>
              <w:pageBreakBefore w:val="0"/>
              <w:widowControl/>
              <w:suppressLineNumbers w:val="0"/>
              <w:wordWrap/>
              <w:topLinePunct w:val="0"/>
              <w:autoSpaceDE/>
              <w:autoSpaceDN/>
              <w:bidi w:val="0"/>
              <w:jc w:val="left"/>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3.内刊发表，每篇1分；                                                        4.该项总分不超过5分；论文发表计算起始日期为2020年1月1日。</w:t>
            </w:r>
          </w:p>
        </w:tc>
        <w:tc>
          <w:tcPr>
            <w:tcW w:w="21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autoSpaceDE/>
              <w:autoSpaceDN/>
              <w:bidi w:val="0"/>
              <w:jc w:val="center"/>
              <w:outlineLvl w:val="9"/>
              <w:rPr>
                <w:rFonts w:hint="eastAsia" w:ascii="仿宋" w:hAnsi="仿宋" w:eastAsia="仿宋" w:cs="仿宋"/>
                <w:i w:val="0"/>
                <w:iCs w:val="0"/>
                <w:color w:val="auto"/>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ordWrap/>
              <w:topLinePunct w:val="0"/>
              <w:autoSpaceDE/>
              <w:autoSpaceDN/>
              <w:bidi w:val="0"/>
              <w:jc w:val="center"/>
              <w:outlineLvl w:val="9"/>
              <w:rPr>
                <w:rFonts w:hint="eastAsia" w:ascii="仿宋" w:hAnsi="仿宋" w:eastAsia="仿宋" w:cs="仿宋"/>
                <w:i w:val="0"/>
                <w:iCs w:val="0"/>
                <w:color w:val="auto"/>
                <w:sz w:val="22"/>
                <w:szCs w:val="22"/>
                <w:u w:val="none"/>
              </w:rPr>
            </w:pPr>
          </w:p>
        </w:tc>
        <w:tc>
          <w:tcPr>
            <w:tcW w:w="146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规范</w:t>
            </w:r>
          </w:p>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标准研编</w:t>
            </w:r>
          </w:p>
        </w:tc>
        <w:tc>
          <w:tcPr>
            <w:tcW w:w="86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wordWrap/>
              <w:topLinePunct w:val="0"/>
              <w:autoSpaceDE/>
              <w:autoSpaceDN/>
              <w:bidi w:val="0"/>
              <w:jc w:val="left"/>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1.国家级的主编每项得4分，参编每项得2分；                                     2.地方级的主编每项得2分，参编每项得1分；                                                           3.累计计分，该项总分不超过5分。                                                  </w:t>
            </w:r>
          </w:p>
        </w:tc>
        <w:tc>
          <w:tcPr>
            <w:tcW w:w="21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autoSpaceDE/>
              <w:autoSpaceDN/>
              <w:bidi w:val="0"/>
              <w:jc w:val="center"/>
              <w:outlineLvl w:val="9"/>
              <w:rPr>
                <w:rFonts w:hint="eastAsia" w:ascii="仿宋" w:hAnsi="仿宋" w:eastAsia="仿宋" w:cs="仿宋"/>
                <w:i w:val="0"/>
                <w:iCs w:val="0"/>
                <w:color w:val="auto"/>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ordWrap/>
              <w:topLinePunct w:val="0"/>
              <w:autoSpaceDE/>
              <w:autoSpaceDN/>
              <w:bidi w:val="0"/>
              <w:jc w:val="center"/>
              <w:outlineLvl w:val="9"/>
              <w:rPr>
                <w:rFonts w:hint="eastAsia" w:ascii="仿宋" w:hAnsi="仿宋" w:eastAsia="仿宋" w:cs="仿宋"/>
                <w:i w:val="0"/>
                <w:iCs w:val="0"/>
                <w:color w:val="auto"/>
                <w:sz w:val="22"/>
                <w:szCs w:val="22"/>
                <w:u w:val="none"/>
              </w:rPr>
            </w:pPr>
          </w:p>
        </w:tc>
        <w:tc>
          <w:tcPr>
            <w:tcW w:w="146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社会任职</w:t>
            </w:r>
          </w:p>
        </w:tc>
        <w:tc>
          <w:tcPr>
            <w:tcW w:w="86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wordWrap/>
              <w:topLinePunct w:val="0"/>
              <w:autoSpaceDE/>
              <w:autoSpaceDN/>
              <w:bidi w:val="0"/>
              <w:jc w:val="left"/>
              <w:textAlignment w:val="center"/>
              <w:outlineLvl w:val="9"/>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1.国家级得5分；</w:t>
            </w:r>
          </w:p>
          <w:p>
            <w:pPr>
              <w:keepNext w:val="0"/>
              <w:keepLines w:val="0"/>
              <w:pageBreakBefore w:val="0"/>
              <w:widowControl/>
              <w:suppressLineNumbers w:val="0"/>
              <w:wordWrap/>
              <w:topLinePunct w:val="0"/>
              <w:autoSpaceDE/>
              <w:autoSpaceDN/>
              <w:bidi w:val="0"/>
              <w:jc w:val="left"/>
              <w:textAlignment w:val="center"/>
              <w:outlineLvl w:val="9"/>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2.省级得4分；</w:t>
            </w:r>
          </w:p>
          <w:p>
            <w:pPr>
              <w:keepNext w:val="0"/>
              <w:keepLines w:val="0"/>
              <w:pageBreakBefore w:val="0"/>
              <w:widowControl/>
              <w:suppressLineNumbers w:val="0"/>
              <w:wordWrap/>
              <w:topLinePunct w:val="0"/>
              <w:autoSpaceDE/>
              <w:autoSpaceDN/>
              <w:bidi w:val="0"/>
              <w:jc w:val="left"/>
              <w:textAlignment w:val="center"/>
              <w:outlineLvl w:val="9"/>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 xml:space="preserve">3.市级得3分；                                                              </w:t>
            </w:r>
          </w:p>
          <w:p>
            <w:pPr>
              <w:keepNext w:val="0"/>
              <w:keepLines w:val="0"/>
              <w:pageBreakBefore w:val="0"/>
              <w:widowControl/>
              <w:suppressLineNumbers w:val="0"/>
              <w:wordWrap/>
              <w:topLinePunct w:val="0"/>
              <w:autoSpaceDE/>
              <w:autoSpaceDN/>
              <w:bidi w:val="0"/>
              <w:jc w:val="left"/>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4.社会任职以在社会团体组织中任管理机构职务或专业技术组织机构任职为准，须提供任职文件或官网截图。</w:t>
            </w:r>
          </w:p>
        </w:tc>
        <w:tc>
          <w:tcPr>
            <w:tcW w:w="21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topLinePunct w:val="0"/>
              <w:autoSpaceDE/>
              <w:autoSpaceDN/>
              <w:bidi w:val="0"/>
              <w:jc w:val="center"/>
              <w:outlineLvl w:val="9"/>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4</w:t>
            </w:r>
          </w:p>
        </w:tc>
        <w:tc>
          <w:tcPr>
            <w:tcW w:w="254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公益活动</w:t>
            </w:r>
          </w:p>
        </w:tc>
        <w:tc>
          <w:tcPr>
            <w:tcW w:w="86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2"/>
              </w:numPr>
              <w:suppressLineNumbers w:val="0"/>
              <w:wordWrap/>
              <w:topLinePunct w:val="0"/>
              <w:autoSpaceDE/>
              <w:autoSpaceDN/>
              <w:bidi w:val="0"/>
              <w:jc w:val="left"/>
              <w:textAlignment w:val="center"/>
              <w:outlineLvl w:val="9"/>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 xml:space="preserve">慈善捐款、贫困或灾区捐款、捐资助学每项得1分；                                                      </w:t>
            </w:r>
          </w:p>
          <w:p>
            <w:pPr>
              <w:keepNext w:val="0"/>
              <w:keepLines w:val="0"/>
              <w:pageBreakBefore w:val="0"/>
              <w:widowControl/>
              <w:numPr>
                <w:ilvl w:val="0"/>
                <w:numId w:val="2"/>
              </w:numPr>
              <w:suppressLineNumbers w:val="0"/>
              <w:wordWrap/>
              <w:topLinePunct w:val="0"/>
              <w:autoSpaceDE/>
              <w:autoSpaceDN/>
              <w:bidi w:val="0"/>
              <w:ind w:left="0" w:leftChars="0" w:firstLine="0" w:firstLineChars="0"/>
              <w:jc w:val="left"/>
              <w:textAlignment w:val="center"/>
              <w:outlineLvl w:val="9"/>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志愿者服务、义务献血等每项得2分；</w:t>
            </w:r>
          </w:p>
          <w:p>
            <w:pPr>
              <w:keepNext w:val="0"/>
              <w:keepLines w:val="0"/>
              <w:pageBreakBefore w:val="0"/>
              <w:widowControl/>
              <w:numPr>
                <w:ilvl w:val="0"/>
                <w:numId w:val="2"/>
              </w:numPr>
              <w:suppressLineNumbers w:val="0"/>
              <w:wordWrap/>
              <w:topLinePunct w:val="0"/>
              <w:autoSpaceDE/>
              <w:autoSpaceDN/>
              <w:bidi w:val="0"/>
              <w:ind w:left="0" w:leftChars="0" w:firstLine="0" w:firstLineChars="0"/>
              <w:jc w:val="left"/>
              <w:textAlignment w:val="center"/>
              <w:outlineLvl w:val="9"/>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 xml:space="preserve">累计计分，该项总分不超过5分。                                                                                                                   </w:t>
            </w:r>
          </w:p>
        </w:tc>
        <w:tc>
          <w:tcPr>
            <w:tcW w:w="21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c>
          <w:tcPr>
            <w:tcW w:w="254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综合评价</w:t>
            </w:r>
          </w:p>
        </w:tc>
        <w:tc>
          <w:tcPr>
            <w:tcW w:w="8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topLinePunct w:val="0"/>
              <w:autoSpaceDE/>
              <w:autoSpaceDN/>
              <w:bidi w:val="0"/>
              <w:jc w:val="left"/>
              <w:textAlignment w:val="center"/>
              <w:outlineLvl w:val="9"/>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1.评优申报材料质量及效果；</w:t>
            </w:r>
          </w:p>
          <w:p>
            <w:pPr>
              <w:keepNext w:val="0"/>
              <w:keepLines w:val="0"/>
              <w:pageBreakBefore w:val="0"/>
              <w:widowControl/>
              <w:suppressLineNumbers w:val="0"/>
              <w:wordWrap/>
              <w:topLinePunct w:val="0"/>
              <w:autoSpaceDE/>
              <w:autoSpaceDN/>
              <w:bidi w:val="0"/>
              <w:jc w:val="left"/>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2.该项得分总分不超过10分。</w:t>
            </w:r>
          </w:p>
        </w:tc>
        <w:tc>
          <w:tcPr>
            <w:tcW w:w="21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autoSpaceDE/>
              <w:autoSpaceDN/>
              <w:bidi w:val="0"/>
              <w:jc w:val="center"/>
              <w:textAlignment w:val="center"/>
              <w:outlineLvl w:val="9"/>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1183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总计得分</w:t>
            </w:r>
          </w:p>
        </w:tc>
        <w:tc>
          <w:tcPr>
            <w:tcW w:w="21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autoSpaceDE/>
              <w:autoSpaceDN/>
              <w:bidi w:val="0"/>
              <w:jc w:val="center"/>
              <w:textAlignment w:val="center"/>
              <w:outlineLvl w:val="9"/>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w:t>
            </w:r>
          </w:p>
        </w:tc>
      </w:tr>
    </w:tbl>
    <w:p>
      <w:pPr>
        <w:sectPr>
          <w:pgSz w:w="16838" w:h="11906" w:orient="landscape"/>
          <w:pgMar w:top="1800" w:right="1440" w:bottom="1800" w:left="1440" w:header="851" w:footer="992" w:gutter="0"/>
          <w:cols w:space="425" w:num="1"/>
          <w:docGrid w:type="lines" w:linePitch="312" w:charSpace="0"/>
        </w:sectPr>
      </w:pPr>
    </w:p>
    <w:tbl>
      <w:tblPr>
        <w:tblStyle w:val="3"/>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81"/>
        <w:gridCol w:w="1140"/>
        <w:gridCol w:w="2234"/>
        <w:gridCol w:w="6597"/>
        <w:gridCol w:w="19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3" w:hRule="atLeast"/>
        </w:trPr>
        <w:tc>
          <w:tcPr>
            <w:tcW w:w="14174"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2022年度池州市</w:t>
            </w:r>
            <w:r>
              <w:rPr>
                <w:rFonts w:hint="eastAsia" w:ascii="仿宋" w:hAnsi="仿宋" w:eastAsia="仿宋" w:cs="仿宋"/>
                <w:b/>
                <w:bCs/>
                <w:i w:val="0"/>
                <w:iCs w:val="0"/>
                <w:color w:val="auto"/>
                <w:kern w:val="0"/>
                <w:sz w:val="30"/>
                <w:szCs w:val="30"/>
                <w:u w:val="none"/>
                <w:lang w:val="en-US" w:eastAsia="zh-CN" w:bidi="ar"/>
              </w:rPr>
              <w:t>全过程工程咨询</w:t>
            </w:r>
            <w:r>
              <w:rPr>
                <w:rFonts w:hint="eastAsia" w:ascii="仿宋" w:hAnsi="仿宋" w:eastAsia="仿宋" w:cs="仿宋"/>
                <w:b/>
                <w:bCs/>
                <w:i w:val="0"/>
                <w:iCs w:val="0"/>
                <w:color w:val="000000"/>
                <w:kern w:val="0"/>
                <w:sz w:val="28"/>
                <w:szCs w:val="28"/>
                <w:u w:val="none"/>
                <w:lang w:val="en-US" w:eastAsia="zh-CN" w:bidi="ar"/>
              </w:rPr>
              <w:t>优秀项目评分</w:t>
            </w:r>
            <w:bookmarkStart w:id="0" w:name="_GoBack"/>
            <w:bookmarkEnd w:id="0"/>
            <w:r>
              <w:rPr>
                <w:rFonts w:hint="eastAsia" w:ascii="仿宋" w:hAnsi="仿宋" w:eastAsia="仿宋" w:cs="仿宋"/>
                <w:b/>
                <w:bCs/>
                <w:i w:val="0"/>
                <w:iCs w:val="0"/>
                <w:color w:val="000000"/>
                <w:kern w:val="0"/>
                <w:sz w:val="28"/>
                <w:szCs w:val="28"/>
                <w:u w:val="none"/>
                <w:lang w:val="en-US" w:eastAsia="zh-CN" w:bidi="ar"/>
              </w:rPr>
              <w:t>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2281" w:type="dxa"/>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widowControl/>
              <w:suppressLineNumbers w:val="0"/>
              <w:jc w:val="center"/>
              <w:textAlignment w:val="center"/>
              <w:rPr>
                <w:rFonts w:hint="eastAsia" w:ascii="仿宋" w:hAnsi="仿宋" w:eastAsia="仿宋" w:cs="仿宋"/>
                <w:b/>
                <w:bCs/>
                <w:i w:val="0"/>
                <w:iCs w:val="0"/>
                <w:color w:val="FFFFFF"/>
                <w:sz w:val="22"/>
                <w:szCs w:val="22"/>
                <w:u w:val="none"/>
              </w:rPr>
            </w:pPr>
            <w:r>
              <w:rPr>
                <w:rFonts w:hint="eastAsia" w:ascii="仿宋" w:hAnsi="仿宋" w:eastAsia="仿宋" w:cs="仿宋"/>
                <w:b/>
                <w:bCs/>
                <w:i w:val="0"/>
                <w:iCs w:val="0"/>
                <w:color w:val="FFFFFF"/>
                <w:kern w:val="0"/>
                <w:sz w:val="22"/>
                <w:szCs w:val="22"/>
                <w:u w:val="none"/>
                <w:lang w:val="en-US" w:eastAsia="zh-CN" w:bidi="ar"/>
              </w:rPr>
              <w:t>成果类型</w:t>
            </w:r>
          </w:p>
        </w:tc>
        <w:tc>
          <w:tcPr>
            <w:tcW w:w="1140" w:type="dxa"/>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widowControl/>
              <w:suppressLineNumbers w:val="0"/>
              <w:jc w:val="center"/>
              <w:textAlignment w:val="center"/>
              <w:rPr>
                <w:rFonts w:hint="eastAsia" w:ascii="仿宋" w:hAnsi="仿宋" w:eastAsia="仿宋" w:cs="仿宋"/>
                <w:b/>
                <w:bCs/>
                <w:i w:val="0"/>
                <w:iCs w:val="0"/>
                <w:color w:val="FFFFFF"/>
                <w:sz w:val="22"/>
                <w:szCs w:val="22"/>
                <w:u w:val="none"/>
              </w:rPr>
            </w:pPr>
            <w:r>
              <w:rPr>
                <w:rFonts w:hint="eastAsia" w:ascii="仿宋" w:hAnsi="仿宋" w:eastAsia="仿宋" w:cs="仿宋"/>
                <w:b/>
                <w:bCs/>
                <w:i w:val="0"/>
                <w:iCs w:val="0"/>
                <w:color w:val="FFFFFF"/>
                <w:kern w:val="0"/>
                <w:sz w:val="22"/>
                <w:szCs w:val="22"/>
                <w:u w:val="none"/>
                <w:lang w:val="en-US" w:eastAsia="zh-CN" w:bidi="ar"/>
              </w:rPr>
              <w:t>序号</w:t>
            </w:r>
          </w:p>
        </w:tc>
        <w:tc>
          <w:tcPr>
            <w:tcW w:w="2234" w:type="dxa"/>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仿宋" w:hAnsi="仿宋" w:eastAsia="仿宋" w:cs="仿宋"/>
                <w:b/>
                <w:bCs/>
                <w:i w:val="0"/>
                <w:iCs w:val="0"/>
                <w:color w:val="FFFFFF"/>
                <w:sz w:val="22"/>
                <w:szCs w:val="22"/>
                <w:u w:val="none"/>
              </w:rPr>
            </w:pPr>
            <w:r>
              <w:rPr>
                <w:rFonts w:hint="eastAsia" w:ascii="仿宋" w:hAnsi="仿宋" w:eastAsia="仿宋" w:cs="仿宋"/>
                <w:b/>
                <w:bCs/>
                <w:i w:val="0"/>
                <w:iCs w:val="0"/>
                <w:color w:val="FFFFFF"/>
                <w:kern w:val="0"/>
                <w:sz w:val="22"/>
                <w:szCs w:val="22"/>
                <w:u w:val="none"/>
                <w:lang w:val="en-US" w:eastAsia="zh-CN" w:bidi="ar"/>
              </w:rPr>
              <w:t>要项</w:t>
            </w:r>
          </w:p>
        </w:tc>
        <w:tc>
          <w:tcPr>
            <w:tcW w:w="6597" w:type="dxa"/>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widowControl/>
              <w:suppressLineNumbers w:val="0"/>
              <w:jc w:val="center"/>
              <w:textAlignment w:val="center"/>
              <w:rPr>
                <w:rFonts w:hint="eastAsia" w:ascii="仿宋" w:hAnsi="仿宋" w:eastAsia="仿宋" w:cs="仿宋"/>
                <w:b/>
                <w:bCs/>
                <w:i w:val="0"/>
                <w:iCs w:val="0"/>
                <w:color w:val="FFFFFF"/>
                <w:sz w:val="22"/>
                <w:szCs w:val="22"/>
                <w:u w:val="none"/>
              </w:rPr>
            </w:pPr>
            <w:r>
              <w:rPr>
                <w:rFonts w:hint="eastAsia" w:ascii="仿宋" w:hAnsi="仿宋" w:eastAsia="仿宋" w:cs="仿宋"/>
                <w:b/>
                <w:bCs/>
                <w:i w:val="0"/>
                <w:iCs w:val="0"/>
                <w:color w:val="FFFFFF"/>
                <w:kern w:val="0"/>
                <w:sz w:val="22"/>
                <w:szCs w:val="22"/>
                <w:u w:val="none"/>
                <w:lang w:val="en-US" w:eastAsia="zh-CN" w:bidi="ar"/>
              </w:rPr>
              <w:t>评分细则</w:t>
            </w:r>
          </w:p>
        </w:tc>
        <w:tc>
          <w:tcPr>
            <w:tcW w:w="1922" w:type="dxa"/>
            <w:tcBorders>
              <w:top w:val="single" w:color="000000" w:sz="4" w:space="0"/>
              <w:left w:val="single" w:color="000000" w:sz="4" w:space="0"/>
              <w:bottom w:val="single" w:color="000000" w:sz="4" w:space="0"/>
              <w:right w:val="single" w:color="000000" w:sz="4" w:space="0"/>
            </w:tcBorders>
            <w:shd w:val="clear" w:color="auto" w:fill="FF0000"/>
            <w:noWrap/>
            <w:vAlign w:val="center"/>
          </w:tcPr>
          <w:p>
            <w:pPr>
              <w:keepNext w:val="0"/>
              <w:keepLines w:val="0"/>
              <w:widowControl/>
              <w:suppressLineNumbers w:val="0"/>
              <w:jc w:val="center"/>
              <w:textAlignment w:val="center"/>
              <w:rPr>
                <w:rFonts w:hint="eastAsia" w:ascii="仿宋" w:hAnsi="仿宋" w:eastAsia="仿宋" w:cs="仿宋"/>
                <w:b/>
                <w:bCs/>
                <w:i w:val="0"/>
                <w:iCs w:val="0"/>
                <w:color w:val="FFFFFF"/>
                <w:sz w:val="22"/>
                <w:szCs w:val="22"/>
                <w:u w:val="none"/>
              </w:rPr>
            </w:pPr>
            <w:r>
              <w:rPr>
                <w:rFonts w:hint="eastAsia" w:ascii="仿宋" w:hAnsi="仿宋" w:eastAsia="仿宋" w:cs="仿宋"/>
                <w:b/>
                <w:bCs/>
                <w:i w:val="0"/>
                <w:iCs w:val="0"/>
                <w:color w:val="FFFFFF"/>
                <w:kern w:val="0"/>
                <w:sz w:val="22"/>
                <w:szCs w:val="22"/>
                <w:u w:val="none"/>
                <w:lang w:val="en-US" w:eastAsia="zh-CN" w:bidi="ar"/>
              </w:rPr>
              <w:t>分值设置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82" w:hRule="atLeast"/>
        </w:trPr>
        <w:tc>
          <w:tcPr>
            <w:tcW w:w="22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服务类成果</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项目服务类型</w:t>
            </w:r>
          </w:p>
        </w:tc>
        <w:tc>
          <w:tcPr>
            <w:tcW w:w="6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1.全过程工程咨询类，项目管理或含两项专项咨询内容的得18分，每增加一项专项咨询内容加2分；</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2.单项咨询得15分；</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3.项目起始日为2020年1月1日。</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40" w:hRule="atLeast"/>
        </w:trPr>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2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项目规模及影响力</w:t>
            </w:r>
          </w:p>
        </w:tc>
        <w:tc>
          <w:tcPr>
            <w:tcW w:w="6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1.大型工程得5分、中型工程得4分，小型工程得分3分；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2.国家级重点项目得6分；省级重点项目得5分；市级重点项目得4分；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3.评价意见优秀的得4分。</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00" w:hRule="atLeast"/>
        </w:trPr>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22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项目服务机构</w:t>
            </w:r>
          </w:p>
        </w:tc>
        <w:tc>
          <w:tcPr>
            <w:tcW w:w="6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1.服务机构满足项目范围基本需求，得15分；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2.机构较完善，配置人员合理，分工和职责明确，得20分；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3.机构完善，设置科学，人员配置强，分工合理，职责明确，得25分。</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00" w:hRule="atLeast"/>
        </w:trPr>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工作成果</w:t>
            </w:r>
          </w:p>
        </w:tc>
        <w:tc>
          <w:tcPr>
            <w:tcW w:w="6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服务工作成果符合所包含的服务范围国家标准规范规定的内容，得10分；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2.服务成果内容详实、工作成果规范，得12分；</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3.工作成果全面，内容丰富，有超值服务成果，得15分。                           </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42" w:hRule="atLeast"/>
        </w:trPr>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创新举措</w:t>
            </w:r>
          </w:p>
        </w:tc>
        <w:tc>
          <w:tcPr>
            <w:tcW w:w="6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1.有创新举措得6分；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2.每增加一个创新举措得2分；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3.总分不超过10分。                       </w:t>
            </w:r>
          </w:p>
        </w:tc>
        <w:tc>
          <w:tcPr>
            <w:tcW w:w="192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62" w:hRule="atLeast"/>
        </w:trPr>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项目或成果获奖</w:t>
            </w:r>
          </w:p>
        </w:tc>
        <w:tc>
          <w:tcPr>
            <w:tcW w:w="6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1.获得国家级奖项，5分；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2.获得省级奖项，4分；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3.获得市级奖项，3分。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4.该项不重复计分，满分5分；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5.获奖计算起始日期为2020年1月1日。</w:t>
            </w:r>
          </w:p>
        </w:tc>
        <w:tc>
          <w:tcPr>
            <w:tcW w:w="1922" w:type="dxa"/>
            <w:tcBorders>
              <w:top w:val="single" w:color="auto"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43" w:hRule="atLeast"/>
        </w:trPr>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综合评价</w:t>
            </w:r>
          </w:p>
        </w:tc>
        <w:tc>
          <w:tcPr>
            <w:tcW w:w="6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1.申报材料按照规定的格式进行，得10分；                           2.评审申报材料的内容、编排质量及感观度，得1-5分；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3.该项得分总分不超过15分</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9" w:hRule="atLeast"/>
        </w:trPr>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997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总计得分</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35A24B"/>
    <w:multiLevelType w:val="singleLevel"/>
    <w:tmpl w:val="C135A24B"/>
    <w:lvl w:ilvl="0" w:tentative="0">
      <w:start w:val="1"/>
      <w:numFmt w:val="decimal"/>
      <w:lvlText w:val="%1."/>
      <w:lvlJc w:val="left"/>
      <w:pPr>
        <w:tabs>
          <w:tab w:val="left" w:pos="312"/>
        </w:tabs>
      </w:pPr>
    </w:lvl>
  </w:abstractNum>
  <w:abstractNum w:abstractNumId="1">
    <w:nsid w:val="3A6F0146"/>
    <w:multiLevelType w:val="singleLevel"/>
    <w:tmpl w:val="3A6F0146"/>
    <w:lvl w:ilvl="0" w:tentative="0">
      <w:start w:val="1"/>
      <w:numFmt w:val="decimal"/>
      <w:lvlText w:val="%1."/>
      <w:lvlJc w:val="left"/>
      <w:pPr>
        <w:tabs>
          <w:tab w:val="left" w:pos="312"/>
        </w:tabs>
      </w:pPr>
    </w:lvl>
  </w:abstractNum>
  <w:abstractNum w:abstractNumId="2">
    <w:nsid w:val="6CB60A12"/>
    <w:multiLevelType w:val="singleLevel"/>
    <w:tmpl w:val="6CB60A12"/>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hMTlhZjhmOWU1ZmM1NjhmOGNjOTAxNWE5MTRjNDMifQ=="/>
  </w:docVars>
  <w:rsids>
    <w:rsidRoot w:val="2B8F6734"/>
    <w:rsid w:val="02FB31F8"/>
    <w:rsid w:val="030308BB"/>
    <w:rsid w:val="079335E8"/>
    <w:rsid w:val="0C744161"/>
    <w:rsid w:val="0D084AFD"/>
    <w:rsid w:val="0E723E09"/>
    <w:rsid w:val="0F091818"/>
    <w:rsid w:val="13460AA8"/>
    <w:rsid w:val="1667691B"/>
    <w:rsid w:val="1F460F53"/>
    <w:rsid w:val="296C3342"/>
    <w:rsid w:val="2B8F6734"/>
    <w:rsid w:val="2BD21C4D"/>
    <w:rsid w:val="2BF70C53"/>
    <w:rsid w:val="30904CDB"/>
    <w:rsid w:val="377E1036"/>
    <w:rsid w:val="379F1623"/>
    <w:rsid w:val="39712889"/>
    <w:rsid w:val="39B22EE6"/>
    <w:rsid w:val="39FA22AE"/>
    <w:rsid w:val="3C4E6C38"/>
    <w:rsid w:val="3D2141D1"/>
    <w:rsid w:val="3FFD6C8D"/>
    <w:rsid w:val="41BF13DE"/>
    <w:rsid w:val="4562713E"/>
    <w:rsid w:val="483B499C"/>
    <w:rsid w:val="486D24D6"/>
    <w:rsid w:val="4EA5175D"/>
    <w:rsid w:val="4EEE3181"/>
    <w:rsid w:val="4F7F24D6"/>
    <w:rsid w:val="52453EBC"/>
    <w:rsid w:val="53201AF1"/>
    <w:rsid w:val="544100F5"/>
    <w:rsid w:val="58952372"/>
    <w:rsid w:val="59B44593"/>
    <w:rsid w:val="5E7E4D1F"/>
    <w:rsid w:val="61671FBA"/>
    <w:rsid w:val="66ED1A86"/>
    <w:rsid w:val="67F27098"/>
    <w:rsid w:val="77204A34"/>
    <w:rsid w:val="7E275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character" w:customStyle="1" w:styleId="5">
    <w:name w:val="font31"/>
    <w:basedOn w:val="4"/>
    <w:qFormat/>
    <w:uiPriority w:val="0"/>
    <w:rPr>
      <w:rFonts w:hint="eastAsia" w:ascii="仿宋" w:hAnsi="仿宋" w:eastAsia="仿宋" w:cs="仿宋"/>
      <w:b/>
      <w:bCs/>
      <w:color w:val="000000"/>
      <w:sz w:val="28"/>
      <w:szCs w:val="28"/>
      <w:u w:val="none"/>
    </w:rPr>
  </w:style>
  <w:style w:type="character" w:customStyle="1" w:styleId="6">
    <w:name w:val="font71"/>
    <w:basedOn w:val="4"/>
    <w:qFormat/>
    <w:uiPriority w:val="0"/>
    <w:rPr>
      <w:rFonts w:hint="eastAsia" w:ascii="仿宋" w:hAnsi="仿宋" w:eastAsia="仿宋" w:cs="仿宋"/>
      <w:b/>
      <w:bCs/>
      <w:color w:val="FF0000"/>
      <w:sz w:val="28"/>
      <w:szCs w:val="28"/>
      <w:u w:val="none"/>
    </w:rPr>
  </w:style>
  <w:style w:type="character" w:customStyle="1" w:styleId="7">
    <w:name w:val="font01"/>
    <w:basedOn w:val="4"/>
    <w:qFormat/>
    <w:uiPriority w:val="0"/>
    <w:rPr>
      <w:rFonts w:hint="eastAsia" w:ascii="仿宋" w:hAnsi="仿宋" w:eastAsia="仿宋" w:cs="仿宋"/>
      <w:color w:val="000000"/>
      <w:sz w:val="22"/>
      <w:szCs w:val="22"/>
      <w:u w:val="none"/>
    </w:rPr>
  </w:style>
  <w:style w:type="character" w:customStyle="1" w:styleId="8">
    <w:name w:val="font61"/>
    <w:basedOn w:val="4"/>
    <w:qFormat/>
    <w:uiPriority w:val="0"/>
    <w:rPr>
      <w:rFonts w:hint="eastAsia" w:ascii="仿宋" w:hAnsi="仿宋" w:eastAsia="仿宋" w:cs="仿宋"/>
      <w:color w:val="FF0000"/>
      <w:sz w:val="22"/>
      <w:szCs w:val="22"/>
      <w:u w:val="none"/>
    </w:rPr>
  </w:style>
  <w:style w:type="character" w:customStyle="1" w:styleId="9">
    <w:name w:val="font51"/>
    <w:basedOn w:val="4"/>
    <w:qFormat/>
    <w:uiPriority w:val="0"/>
    <w:rPr>
      <w:rFonts w:hint="eastAsia" w:ascii="仿宋" w:hAnsi="仿宋" w:eastAsia="仿宋" w:cs="仿宋"/>
      <w:color w:val="000000"/>
      <w:sz w:val="22"/>
      <w:szCs w:val="22"/>
      <w:u w:val="none"/>
    </w:rPr>
  </w:style>
  <w:style w:type="character" w:customStyle="1" w:styleId="10">
    <w:name w:val="font21"/>
    <w:basedOn w:val="4"/>
    <w:qFormat/>
    <w:uiPriority w:val="0"/>
    <w:rPr>
      <w:rFonts w:hint="eastAsia" w:ascii="仿宋" w:hAnsi="仿宋" w:eastAsia="仿宋" w:cs="仿宋"/>
      <w:b/>
      <w:bCs/>
      <w:color w:val="000000"/>
      <w:sz w:val="28"/>
      <w:szCs w:val="28"/>
      <w:u w:val="none"/>
    </w:rPr>
  </w:style>
  <w:style w:type="character" w:customStyle="1" w:styleId="11">
    <w:name w:val="font41"/>
    <w:basedOn w:val="4"/>
    <w:qFormat/>
    <w:uiPriority w:val="0"/>
    <w:rPr>
      <w:rFonts w:hint="eastAsia" w:ascii="仿宋" w:hAnsi="仿宋" w:eastAsia="仿宋" w:cs="仿宋"/>
      <w:color w:val="FF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1967</Words>
  <Characters>2132</Characters>
  <Lines>0</Lines>
  <Paragraphs>0</Paragraphs>
  <TotalTime>0</TotalTime>
  <ScaleCrop>false</ScaleCrop>
  <LinksUpToDate>false</LinksUpToDate>
  <CharactersWithSpaces>3160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2022-07-08T08:35:00Z</dcterms:created>
  <dc:creator>【SKY】</dc:creator>
  <cp:lastModifiedBy>Administrator</cp:lastModifiedBy>
  <dcterms:modified xsi:type="dcterms:W3CDTF">2023-05-16T09:21:51Z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802F43E82F2A48D79022815079EA6DDC_13</vt:lpwstr>
  </property>
</Properties>
</file>